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4"/>
        <w:gridCol w:w="7806"/>
      </w:tblGrid>
      <w:tr w14:paraId="342FA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848" w:type="pct"/>
            <w:vAlign w:val="center"/>
          </w:tcPr>
          <w:p w14:paraId="5767FCF8">
            <w:pPr>
              <w:spacing w:line="360" w:lineRule="auto"/>
              <w:jc w:val="center"/>
              <w:rPr>
                <w:rFonts w:ascii="仿宋" w:hAnsi="仿宋" w:eastAsia="仿宋"/>
                <w:b/>
                <w:sz w:val="28"/>
                <w:szCs w:val="28"/>
              </w:rPr>
            </w:pPr>
            <w:r>
              <w:rPr>
                <w:rFonts w:hint="eastAsia" w:ascii="仿宋" w:hAnsi="仿宋" w:eastAsia="仿宋"/>
                <w:b/>
                <w:sz w:val="28"/>
                <w:szCs w:val="28"/>
              </w:rPr>
              <w:t>项目名称</w:t>
            </w:r>
          </w:p>
        </w:tc>
        <w:tc>
          <w:tcPr>
            <w:tcW w:w="4152" w:type="pct"/>
            <w:vAlign w:val="center"/>
          </w:tcPr>
          <w:p w14:paraId="40F81739">
            <w:pPr>
              <w:spacing w:line="360" w:lineRule="auto"/>
              <w:rPr>
                <w:rFonts w:ascii="仿宋" w:hAnsi="仿宋" w:eastAsia="仿宋"/>
                <w:sz w:val="28"/>
                <w:szCs w:val="28"/>
              </w:rPr>
            </w:pPr>
            <w:bookmarkStart w:id="0" w:name="_GoBack"/>
            <w:bookmarkEnd w:id="0"/>
            <w:r>
              <w:rPr>
                <w:rFonts w:hint="eastAsia" w:ascii="仿宋" w:hAnsi="仿宋" w:eastAsia="仿宋"/>
                <w:sz w:val="28"/>
                <w:szCs w:val="28"/>
              </w:rPr>
              <w:t>中国科大2026年电动液压升降桩维保服务采购</w:t>
            </w:r>
          </w:p>
        </w:tc>
      </w:tr>
      <w:tr w14:paraId="35941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48" w:type="pct"/>
            <w:vAlign w:val="center"/>
          </w:tcPr>
          <w:p w14:paraId="320CE8C3">
            <w:pPr>
              <w:spacing w:line="360" w:lineRule="auto"/>
              <w:jc w:val="center"/>
              <w:rPr>
                <w:rFonts w:ascii="仿宋" w:hAnsi="仿宋" w:eastAsia="仿宋"/>
                <w:b/>
                <w:sz w:val="28"/>
                <w:szCs w:val="28"/>
              </w:rPr>
            </w:pPr>
            <w:r>
              <w:rPr>
                <w:rFonts w:hint="eastAsia" w:ascii="仿宋" w:hAnsi="仿宋" w:eastAsia="仿宋"/>
                <w:b/>
                <w:sz w:val="28"/>
                <w:szCs w:val="28"/>
              </w:rPr>
              <w:t>概算</w:t>
            </w:r>
          </w:p>
        </w:tc>
        <w:tc>
          <w:tcPr>
            <w:tcW w:w="4152" w:type="pct"/>
            <w:vAlign w:val="center"/>
          </w:tcPr>
          <w:p w14:paraId="574070A8">
            <w:pPr>
              <w:spacing w:line="360" w:lineRule="auto"/>
              <w:rPr>
                <w:rFonts w:ascii="仿宋" w:hAnsi="仿宋" w:eastAsia="仿宋"/>
                <w:sz w:val="28"/>
                <w:szCs w:val="28"/>
              </w:rPr>
            </w:pPr>
            <w:r>
              <w:rPr>
                <w:rFonts w:hint="eastAsia" w:ascii="仿宋" w:hAnsi="仿宋" w:eastAsia="仿宋"/>
                <w:sz w:val="28"/>
                <w:szCs w:val="28"/>
              </w:rPr>
              <w:t>意向供应商测算。</w:t>
            </w:r>
          </w:p>
        </w:tc>
      </w:tr>
      <w:tr w14:paraId="3A229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48" w:type="pct"/>
            <w:vAlign w:val="center"/>
          </w:tcPr>
          <w:p w14:paraId="13486CB0">
            <w:pPr>
              <w:spacing w:line="360" w:lineRule="auto"/>
              <w:jc w:val="center"/>
              <w:rPr>
                <w:rFonts w:ascii="仿宋" w:hAnsi="仿宋" w:eastAsia="仿宋"/>
                <w:b/>
                <w:sz w:val="28"/>
                <w:szCs w:val="28"/>
              </w:rPr>
            </w:pPr>
            <w:r>
              <w:rPr>
                <w:rFonts w:hint="eastAsia" w:ascii="仿宋" w:hAnsi="仿宋" w:eastAsia="仿宋"/>
                <w:b/>
                <w:sz w:val="28"/>
                <w:szCs w:val="28"/>
              </w:rPr>
              <w:t>项目概况</w:t>
            </w:r>
          </w:p>
        </w:tc>
        <w:tc>
          <w:tcPr>
            <w:tcW w:w="4152" w:type="pct"/>
            <w:vAlign w:val="center"/>
          </w:tcPr>
          <w:p w14:paraId="0AFB8AA7">
            <w:pPr>
              <w:spacing w:line="360" w:lineRule="auto"/>
              <w:rPr>
                <w:rFonts w:ascii="仿宋" w:hAnsi="仿宋" w:eastAsia="仿宋"/>
                <w:sz w:val="28"/>
                <w:szCs w:val="28"/>
              </w:rPr>
            </w:pPr>
            <w:r>
              <w:rPr>
                <w:rFonts w:hint="eastAsia" w:ascii="仿宋" w:hAnsi="仿宋" w:eastAsia="仿宋"/>
                <w:sz w:val="28"/>
                <w:szCs w:val="28"/>
              </w:rPr>
              <w:t>见附件</w:t>
            </w:r>
          </w:p>
        </w:tc>
      </w:tr>
      <w:tr w14:paraId="59FCC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848" w:type="pct"/>
            <w:vAlign w:val="center"/>
          </w:tcPr>
          <w:p w14:paraId="5719D52F">
            <w:pPr>
              <w:spacing w:line="360" w:lineRule="auto"/>
              <w:jc w:val="center"/>
              <w:rPr>
                <w:rFonts w:ascii="仿宋" w:hAnsi="仿宋" w:eastAsia="仿宋"/>
                <w:b/>
                <w:sz w:val="28"/>
                <w:szCs w:val="28"/>
              </w:rPr>
            </w:pPr>
            <w:r>
              <w:rPr>
                <w:rFonts w:hint="eastAsia" w:ascii="仿宋" w:hAnsi="仿宋" w:eastAsia="仿宋"/>
                <w:b/>
                <w:sz w:val="28"/>
                <w:szCs w:val="28"/>
              </w:rPr>
              <w:t>服务期限</w:t>
            </w:r>
          </w:p>
        </w:tc>
        <w:tc>
          <w:tcPr>
            <w:tcW w:w="4152" w:type="pct"/>
            <w:vAlign w:val="center"/>
          </w:tcPr>
          <w:p w14:paraId="2858944D">
            <w:pPr>
              <w:spacing w:line="360" w:lineRule="auto"/>
              <w:rPr>
                <w:rFonts w:ascii="仿宋" w:hAnsi="仿宋" w:eastAsia="仿宋"/>
                <w:sz w:val="28"/>
                <w:szCs w:val="28"/>
              </w:rPr>
            </w:pPr>
            <w:r>
              <w:rPr>
                <w:rFonts w:hint="eastAsia" w:ascii="仿宋" w:hAnsi="仿宋" w:eastAsia="仿宋"/>
                <w:sz w:val="28"/>
                <w:szCs w:val="28"/>
              </w:rPr>
              <w:t>一年</w:t>
            </w:r>
          </w:p>
        </w:tc>
      </w:tr>
      <w:tr w14:paraId="37187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trPr>
        <w:tc>
          <w:tcPr>
            <w:tcW w:w="848" w:type="pct"/>
            <w:vAlign w:val="center"/>
          </w:tcPr>
          <w:p w14:paraId="3478F48B">
            <w:pPr>
              <w:spacing w:line="360" w:lineRule="auto"/>
              <w:jc w:val="center"/>
              <w:rPr>
                <w:rFonts w:ascii="仿宋" w:hAnsi="仿宋" w:eastAsia="仿宋"/>
                <w:b/>
                <w:sz w:val="28"/>
                <w:szCs w:val="28"/>
              </w:rPr>
            </w:pPr>
            <w:r>
              <w:rPr>
                <w:rFonts w:hint="eastAsia" w:ascii="仿宋" w:hAnsi="仿宋" w:eastAsia="仿宋"/>
                <w:b/>
                <w:sz w:val="28"/>
                <w:szCs w:val="28"/>
              </w:rPr>
              <w:t>付款方式</w:t>
            </w:r>
          </w:p>
        </w:tc>
        <w:tc>
          <w:tcPr>
            <w:tcW w:w="4152" w:type="pct"/>
            <w:vAlign w:val="center"/>
          </w:tcPr>
          <w:p w14:paraId="550CC21E">
            <w:pPr>
              <w:spacing w:line="360" w:lineRule="auto"/>
              <w:rPr>
                <w:rFonts w:ascii="仿宋" w:hAnsi="仿宋" w:eastAsia="仿宋" w:cs="宋体"/>
                <w:sz w:val="28"/>
                <w:szCs w:val="28"/>
              </w:rPr>
            </w:pPr>
            <w:r>
              <w:rPr>
                <w:rFonts w:hint="eastAsia" w:ascii="仿宋" w:hAnsi="仿宋" w:eastAsia="仿宋"/>
                <w:sz w:val="28"/>
                <w:szCs w:val="28"/>
              </w:rPr>
              <w:t>付款方</w:t>
            </w:r>
            <w:r>
              <w:rPr>
                <w:rFonts w:hint="eastAsia" w:ascii="仿宋" w:hAnsi="仿宋" w:eastAsia="仿宋"/>
                <w:sz w:val="28"/>
                <w:szCs w:val="28"/>
                <w:lang w:val="zh-CN"/>
              </w:rPr>
              <w:t>式：先服务后付款，每六个月支付一次，根据考核结果据实支付。付款前须开具正规增值税发票。</w:t>
            </w:r>
          </w:p>
        </w:tc>
      </w:tr>
      <w:tr w14:paraId="6161F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trPr>
        <w:tc>
          <w:tcPr>
            <w:tcW w:w="848" w:type="pct"/>
            <w:vAlign w:val="center"/>
          </w:tcPr>
          <w:p w14:paraId="1DFDE120">
            <w:pPr>
              <w:spacing w:line="360" w:lineRule="auto"/>
              <w:jc w:val="center"/>
              <w:rPr>
                <w:rFonts w:ascii="仿宋" w:hAnsi="仿宋" w:eastAsia="仿宋"/>
                <w:b/>
                <w:sz w:val="28"/>
                <w:szCs w:val="28"/>
              </w:rPr>
            </w:pPr>
            <w:r>
              <w:rPr>
                <w:rFonts w:hint="eastAsia" w:ascii="仿宋" w:hAnsi="仿宋" w:eastAsia="仿宋"/>
                <w:b/>
                <w:sz w:val="28"/>
                <w:szCs w:val="28"/>
              </w:rPr>
              <w:t>服务需求</w:t>
            </w:r>
          </w:p>
        </w:tc>
        <w:tc>
          <w:tcPr>
            <w:tcW w:w="4152" w:type="pct"/>
            <w:vAlign w:val="center"/>
          </w:tcPr>
          <w:p w14:paraId="2499DC67">
            <w:pPr>
              <w:pStyle w:val="18"/>
              <w:widowControl/>
              <w:numPr>
                <w:ilvl w:val="0"/>
                <w:numId w:val="1"/>
              </w:numPr>
              <w:adjustRightInd w:val="0"/>
              <w:snapToGrid w:val="0"/>
              <w:spacing w:line="360" w:lineRule="auto"/>
              <w:ind w:firstLineChars="0"/>
              <w:rPr>
                <w:rFonts w:ascii="仿宋" w:hAnsi="仿宋" w:eastAsia="仿宋"/>
                <w:sz w:val="24"/>
                <w:szCs w:val="28"/>
              </w:rPr>
            </w:pPr>
            <w:r>
              <w:rPr>
                <w:rFonts w:hint="eastAsia" w:ascii="仿宋" w:hAnsi="仿宋" w:eastAsia="仿宋"/>
                <w:sz w:val="24"/>
                <w:szCs w:val="28"/>
              </w:rPr>
              <w:t>供应商具有完成本项目的资质、技术能力和专业的维保队伍，维保工作人员应具有有效的职业资格证、培训上岗证等相关证明，且在维保期内保证资质有效，技术力量不降低。</w:t>
            </w:r>
          </w:p>
          <w:p w14:paraId="6601927C">
            <w:pPr>
              <w:pStyle w:val="18"/>
              <w:widowControl/>
              <w:numPr>
                <w:ilvl w:val="0"/>
                <w:numId w:val="1"/>
              </w:numPr>
              <w:adjustRightInd w:val="0"/>
              <w:snapToGrid w:val="0"/>
              <w:spacing w:line="360" w:lineRule="auto"/>
              <w:ind w:firstLineChars="0"/>
              <w:rPr>
                <w:rFonts w:ascii="仿宋" w:hAnsi="仿宋" w:eastAsia="仿宋"/>
                <w:sz w:val="24"/>
                <w:szCs w:val="28"/>
              </w:rPr>
            </w:pPr>
            <w:r>
              <w:rPr>
                <w:rFonts w:hint="eastAsia" w:ascii="仿宋" w:hAnsi="仿宋" w:eastAsia="仿宋"/>
                <w:sz w:val="24"/>
                <w:szCs w:val="28"/>
              </w:rPr>
              <w:t>合同签订后1</w:t>
            </w:r>
            <w:r>
              <w:rPr>
                <w:rFonts w:ascii="仿宋" w:hAnsi="仿宋" w:eastAsia="仿宋"/>
                <w:sz w:val="24"/>
                <w:szCs w:val="28"/>
              </w:rPr>
              <w:t>0日</w:t>
            </w:r>
            <w:r>
              <w:rPr>
                <w:rFonts w:hint="eastAsia" w:ascii="仿宋" w:hAnsi="仿宋" w:eastAsia="仿宋"/>
                <w:sz w:val="24"/>
                <w:szCs w:val="28"/>
              </w:rPr>
              <w:t>内完成对本项目设备检查，形成检查结果报告，协助采购人将全部设备恢复到正常使用状态。</w:t>
            </w:r>
          </w:p>
          <w:p w14:paraId="695A5668">
            <w:pPr>
              <w:pStyle w:val="18"/>
              <w:widowControl/>
              <w:numPr>
                <w:ilvl w:val="0"/>
                <w:numId w:val="1"/>
              </w:numPr>
              <w:adjustRightInd w:val="0"/>
              <w:snapToGrid w:val="0"/>
              <w:spacing w:line="360" w:lineRule="auto"/>
              <w:ind w:firstLineChars="0"/>
              <w:rPr>
                <w:rFonts w:ascii="仿宋" w:hAnsi="仿宋" w:eastAsia="仿宋"/>
                <w:sz w:val="24"/>
                <w:szCs w:val="28"/>
              </w:rPr>
            </w:pPr>
            <w:r>
              <w:rPr>
                <w:rFonts w:hint="eastAsia" w:ascii="仿宋" w:hAnsi="仿宋" w:eastAsia="仿宋"/>
                <w:sz w:val="24"/>
                <w:szCs w:val="28"/>
              </w:rPr>
              <w:t>在设备正常使用状态下，乙方定期进行设备的现场检查和维保，每月1-5日和15-20日各一次，形成书面检查记录并附带日期水印的检查照片。每半年对受托维保的设备维保工作形成书面年度总结，对设备状况进行评估，并就系统设备的实际情况向甲方提出科学合理的使用运行建议等。</w:t>
            </w:r>
          </w:p>
          <w:p w14:paraId="30B89C20">
            <w:pPr>
              <w:pStyle w:val="18"/>
              <w:widowControl/>
              <w:adjustRightInd w:val="0"/>
              <w:snapToGrid w:val="0"/>
              <w:spacing w:line="360" w:lineRule="auto"/>
              <w:ind w:left="420" w:firstLine="0" w:firstLineChars="0"/>
              <w:rPr>
                <w:rFonts w:ascii="仿宋" w:hAnsi="仿宋" w:eastAsia="仿宋"/>
                <w:b/>
                <w:sz w:val="24"/>
                <w:szCs w:val="28"/>
              </w:rPr>
            </w:pPr>
            <w:r>
              <w:rPr>
                <w:rFonts w:hint="eastAsia" w:ascii="仿宋" w:hAnsi="仿宋" w:eastAsia="仿宋"/>
                <w:b/>
                <w:sz w:val="24"/>
                <w:szCs w:val="28"/>
                <w:highlight w:val="yellow"/>
              </w:rPr>
              <w:t>（检查项目、标准和问题</w:t>
            </w:r>
            <w:r>
              <w:rPr>
                <w:rFonts w:hint="eastAsia" w:ascii="仿宋" w:hAnsi="仿宋" w:eastAsia="仿宋"/>
                <w:b/>
                <w:sz w:val="24"/>
                <w:szCs w:val="28"/>
                <w:highlight w:val="yellow"/>
                <w:lang w:val="en-US" w:eastAsia="zh-CN"/>
              </w:rPr>
              <w:t>处理</w:t>
            </w:r>
            <w:r>
              <w:rPr>
                <w:rFonts w:hint="eastAsia" w:ascii="仿宋" w:hAnsi="仿宋" w:eastAsia="仿宋"/>
                <w:b/>
                <w:sz w:val="24"/>
                <w:szCs w:val="28"/>
                <w:highlight w:val="yellow"/>
              </w:rPr>
              <w:t>措施请意向供应商完善）</w:t>
            </w:r>
          </w:p>
          <w:p w14:paraId="3ECFC87A">
            <w:pPr>
              <w:pStyle w:val="18"/>
              <w:widowControl/>
              <w:numPr>
                <w:ilvl w:val="0"/>
                <w:numId w:val="1"/>
              </w:numPr>
              <w:adjustRightInd w:val="0"/>
              <w:snapToGrid w:val="0"/>
              <w:spacing w:line="360" w:lineRule="auto"/>
              <w:ind w:firstLineChars="0"/>
              <w:rPr>
                <w:rFonts w:ascii="仿宋" w:hAnsi="仿宋" w:eastAsia="仿宋"/>
                <w:sz w:val="24"/>
                <w:szCs w:val="28"/>
                <w:highlight w:val="yellow"/>
              </w:rPr>
            </w:pPr>
            <w:r>
              <w:rPr>
                <w:rFonts w:ascii="仿宋" w:hAnsi="仿宋" w:eastAsia="仿宋"/>
                <w:sz w:val="24"/>
                <w:szCs w:val="28"/>
              </w:rPr>
              <w:t>合同期内，供应商接到报修电话后</w:t>
            </w:r>
            <w:r>
              <w:rPr>
                <w:rFonts w:hint="eastAsia" w:ascii="仿宋" w:hAnsi="仿宋" w:eastAsia="仿宋"/>
                <w:sz w:val="24"/>
                <w:szCs w:val="28"/>
                <w:lang w:val="en-US" w:eastAsia="zh-CN"/>
              </w:rPr>
              <w:t>半</w:t>
            </w:r>
            <w:r>
              <w:rPr>
                <w:rFonts w:ascii="仿宋" w:hAnsi="仿宋" w:eastAsia="仿宋"/>
                <w:sz w:val="24"/>
                <w:szCs w:val="28"/>
              </w:rPr>
              <w:t>小时内到现场开展检修</w:t>
            </w:r>
            <w:r>
              <w:rPr>
                <w:rFonts w:hint="eastAsia" w:ascii="仿宋" w:hAnsi="仿宋" w:eastAsia="仿宋"/>
                <w:sz w:val="24"/>
                <w:szCs w:val="28"/>
              </w:rPr>
              <w:t>。</w:t>
            </w:r>
          </w:p>
          <w:p w14:paraId="5BC06F65">
            <w:pPr>
              <w:pStyle w:val="18"/>
              <w:widowControl/>
              <w:numPr>
                <w:ilvl w:val="0"/>
                <w:numId w:val="1"/>
              </w:numPr>
              <w:adjustRightInd w:val="0"/>
              <w:snapToGrid w:val="0"/>
              <w:spacing w:line="360" w:lineRule="auto"/>
              <w:ind w:firstLineChars="0"/>
              <w:rPr>
                <w:rFonts w:ascii="仿宋" w:hAnsi="仿宋" w:eastAsia="仿宋"/>
                <w:sz w:val="24"/>
                <w:szCs w:val="28"/>
              </w:rPr>
            </w:pPr>
            <w:r>
              <w:rPr>
                <w:rFonts w:hint="eastAsia" w:ascii="仿宋" w:hAnsi="仿宋" w:eastAsia="仿宋"/>
                <w:sz w:val="24"/>
                <w:szCs w:val="28"/>
              </w:rPr>
              <w:t>更换配件须正规全新配件，且不低于原装配件参数标准。</w:t>
            </w:r>
          </w:p>
          <w:p w14:paraId="6C3679F6">
            <w:pPr>
              <w:pStyle w:val="18"/>
              <w:widowControl/>
              <w:numPr>
                <w:ilvl w:val="0"/>
                <w:numId w:val="1"/>
              </w:numPr>
              <w:adjustRightInd w:val="0"/>
              <w:snapToGrid w:val="0"/>
              <w:spacing w:line="360" w:lineRule="auto"/>
              <w:ind w:firstLineChars="0"/>
              <w:rPr>
                <w:rFonts w:ascii="仿宋" w:hAnsi="仿宋" w:eastAsia="仿宋"/>
                <w:sz w:val="24"/>
                <w:szCs w:val="28"/>
              </w:rPr>
            </w:pPr>
            <w:r>
              <w:rPr>
                <w:rFonts w:hint="eastAsia" w:ascii="仿宋" w:hAnsi="仿宋" w:eastAsia="仿宋"/>
                <w:sz w:val="24"/>
                <w:szCs w:val="28"/>
              </w:rPr>
              <w:t>本项目维保采用方式</w:t>
            </w:r>
            <w:r>
              <w:rPr>
                <w:rFonts w:hint="eastAsia" w:ascii="仿宋" w:hAnsi="仿宋" w:eastAsia="仿宋"/>
                <w:b/>
                <w:sz w:val="24"/>
                <w:szCs w:val="28"/>
                <w:highlight w:val="yellow"/>
                <w:lang w:val="en-US" w:eastAsia="zh-CN"/>
              </w:rPr>
              <w:t>（请意向供应商针对两种维保方案给予报价反馈）</w:t>
            </w:r>
            <w:r>
              <w:rPr>
                <w:rFonts w:hint="eastAsia" w:ascii="仿宋" w:hAnsi="仿宋" w:eastAsia="仿宋"/>
                <w:sz w:val="24"/>
                <w:szCs w:val="28"/>
                <w:lang w:eastAsia="zh-CN"/>
              </w:rPr>
              <w:t>：</w:t>
            </w:r>
          </w:p>
          <w:p w14:paraId="3B7B35FB">
            <w:pPr>
              <w:pStyle w:val="18"/>
              <w:widowControl/>
              <w:numPr>
                <w:ilvl w:val="0"/>
                <w:numId w:val="2"/>
              </w:numPr>
              <w:adjustRightInd w:val="0"/>
              <w:snapToGrid w:val="0"/>
              <w:spacing w:line="360" w:lineRule="auto"/>
              <w:ind w:leftChars="0"/>
              <w:rPr>
                <w:rFonts w:hint="eastAsia" w:ascii="仿宋" w:hAnsi="仿宋" w:eastAsia="仿宋"/>
                <w:sz w:val="24"/>
                <w:szCs w:val="28"/>
                <w:lang w:val="en-US" w:eastAsia="zh-CN"/>
              </w:rPr>
            </w:pPr>
            <w:r>
              <w:rPr>
                <w:rFonts w:hint="eastAsia" w:ascii="仿宋" w:hAnsi="仿宋" w:eastAsia="仿宋"/>
                <w:b/>
                <w:bCs/>
                <w:sz w:val="24"/>
                <w:szCs w:val="28"/>
                <w:lang w:val="en-US" w:eastAsia="zh-CN"/>
              </w:rPr>
              <w:t>半包模式：</w:t>
            </w:r>
            <w:r>
              <w:rPr>
                <w:rFonts w:hint="eastAsia" w:ascii="仿宋" w:hAnsi="仿宋" w:eastAsia="仿宋"/>
                <w:sz w:val="24"/>
                <w:szCs w:val="28"/>
              </w:rPr>
              <w:t>服务期内，乙方提供的所有维保服务（含日常巡检、故障排查、维修调试、技术支持等）不再另行收取人工费、运输费、差旅费、上门费、辅材费及其他任何相关费用。乙方须保障设备正常安全运行，及时响应故障报修，确保维保服务及时、规范、到位。</w:t>
            </w:r>
            <w:r>
              <w:rPr>
                <w:rFonts w:hint="eastAsia" w:ascii="仿宋" w:hAnsi="仿宋" w:eastAsia="仿宋"/>
                <w:sz w:val="24"/>
                <w:szCs w:val="28"/>
                <w:lang w:val="en-US" w:eastAsia="zh-CN"/>
              </w:rPr>
              <w:t>单价5000元（含）以内的材料及配件费用由乙方承担。如更换配件、材料单价超过5000元，乙方向甲方提供书面分析和方案建议，由甲方另行实施维修。</w:t>
            </w:r>
          </w:p>
          <w:p w14:paraId="2C7991E7">
            <w:pPr>
              <w:pStyle w:val="18"/>
              <w:widowControl/>
              <w:numPr>
                <w:ilvl w:val="0"/>
                <w:numId w:val="2"/>
              </w:numPr>
              <w:adjustRightInd w:val="0"/>
              <w:snapToGrid w:val="0"/>
              <w:spacing w:line="360" w:lineRule="auto"/>
              <w:ind w:left="0" w:leftChars="0" w:firstLine="482" w:firstLineChars="200"/>
              <w:rPr>
                <w:rFonts w:hint="eastAsia" w:ascii="仿宋" w:hAnsi="仿宋" w:eastAsia="仿宋"/>
                <w:sz w:val="24"/>
                <w:szCs w:val="28"/>
                <w:lang w:val="en-US" w:eastAsia="zh-CN"/>
              </w:rPr>
            </w:pPr>
            <w:r>
              <w:rPr>
                <w:rFonts w:hint="eastAsia" w:ascii="仿宋" w:hAnsi="仿宋" w:eastAsia="仿宋"/>
                <w:b/>
                <w:bCs/>
                <w:sz w:val="24"/>
                <w:szCs w:val="28"/>
                <w:lang w:val="en-US" w:eastAsia="zh-CN"/>
              </w:rPr>
              <w:t>全包模式：</w:t>
            </w:r>
            <w:r>
              <w:rPr>
                <w:rFonts w:hint="eastAsia" w:ascii="仿宋" w:hAnsi="仿宋" w:eastAsia="仿宋"/>
                <w:sz w:val="24"/>
                <w:szCs w:val="28"/>
                <w:lang w:val="en-US" w:eastAsia="zh-CN"/>
              </w:rPr>
              <w:t>服务期内，因设备正常运行损耗、故障维修、易损件更换等产生的全部人工费用、材料费用、配件费用及相关辅材费用均由乙方承担，甲方无需另行支付任何费用。乙方保证设备正常、安全、稳定运行，确保满足使用要求。</w:t>
            </w:r>
          </w:p>
          <w:p w14:paraId="78305184">
            <w:pPr>
              <w:pStyle w:val="18"/>
              <w:widowControl/>
              <w:numPr>
                <w:ilvl w:val="0"/>
                <w:numId w:val="2"/>
              </w:numPr>
              <w:adjustRightInd w:val="0"/>
              <w:snapToGrid w:val="0"/>
              <w:spacing w:line="360" w:lineRule="auto"/>
              <w:ind w:left="0" w:leftChars="0" w:firstLine="482" w:firstLineChars="200"/>
              <w:rPr>
                <w:rFonts w:hint="eastAsia" w:ascii="仿宋" w:hAnsi="仿宋" w:eastAsia="仿宋"/>
                <w:b/>
                <w:bCs/>
                <w:sz w:val="24"/>
                <w:szCs w:val="28"/>
                <w:lang w:val="en-US" w:eastAsia="zh-CN"/>
              </w:rPr>
            </w:pPr>
            <w:r>
              <w:rPr>
                <w:rFonts w:hint="eastAsia" w:ascii="仿宋" w:hAnsi="仿宋" w:eastAsia="仿宋"/>
                <w:b/>
                <w:bCs/>
                <w:sz w:val="24"/>
                <w:szCs w:val="28"/>
                <w:highlight w:val="yellow"/>
                <w:lang w:val="en-US" w:eastAsia="zh-CN"/>
              </w:rPr>
              <w:t>另请意向供应商就升降柱常见维修项目提供分项单价</w:t>
            </w:r>
            <w:r>
              <w:rPr>
                <w:rFonts w:hint="eastAsia" w:ascii="仿宋" w:hAnsi="仿宋" w:eastAsia="仿宋"/>
                <w:b/>
                <w:bCs/>
                <w:sz w:val="24"/>
                <w:szCs w:val="28"/>
                <w:lang w:val="en-US" w:eastAsia="zh-CN"/>
              </w:rPr>
              <w:t>，包含但不限于：智能控制系统更换、升降柱机芯更换、调配单个遥控器、柱体脱落加固焊接、粘贴反光标识、基础排水、升降柱柱体除锈及涂刷防锈漆等。供应商应结合设备实际情况，完整列明各类维护服务单价。</w:t>
            </w:r>
          </w:p>
          <w:p w14:paraId="0FC00691">
            <w:pPr>
              <w:pStyle w:val="18"/>
              <w:widowControl/>
              <w:numPr>
                <w:ilvl w:val="0"/>
                <w:numId w:val="1"/>
              </w:numPr>
              <w:adjustRightInd w:val="0"/>
              <w:snapToGrid w:val="0"/>
              <w:spacing w:line="360" w:lineRule="auto"/>
              <w:ind w:firstLineChars="0"/>
              <w:rPr>
                <w:rFonts w:ascii="仿宋" w:hAnsi="仿宋" w:eastAsia="仿宋"/>
                <w:sz w:val="24"/>
                <w:szCs w:val="28"/>
              </w:rPr>
            </w:pPr>
            <w:r>
              <w:rPr>
                <w:rFonts w:hint="eastAsia" w:ascii="仿宋" w:hAnsi="仿宋" w:eastAsia="仿宋"/>
                <w:sz w:val="24"/>
                <w:szCs w:val="28"/>
              </w:rPr>
              <w:t>乙方每次完成维修、保养等后，向甲方提交《维修工作单》等所有能证实乙方确已按照约定完成维保工作并达成维保目的的书面证明，双方签字确认后各保存一份，作为服务费用支付依据。</w:t>
            </w:r>
          </w:p>
          <w:p w14:paraId="450B7168">
            <w:pPr>
              <w:pStyle w:val="18"/>
              <w:widowControl/>
              <w:numPr>
                <w:ilvl w:val="0"/>
                <w:numId w:val="1"/>
              </w:numPr>
              <w:shd w:val="clear" w:color="auto" w:fill="FFFFFF"/>
              <w:spacing w:line="360" w:lineRule="auto"/>
              <w:ind w:firstLineChars="0"/>
              <w:jc w:val="left"/>
              <w:rPr>
                <w:rFonts w:ascii="仿宋" w:hAnsi="仿宋" w:eastAsia="仿宋"/>
                <w:sz w:val="24"/>
                <w:szCs w:val="28"/>
              </w:rPr>
            </w:pPr>
            <w:r>
              <w:rPr>
                <w:rFonts w:hint="eastAsia" w:ascii="仿宋" w:hAnsi="仿宋" w:eastAsia="仿宋"/>
                <w:sz w:val="24"/>
                <w:szCs w:val="28"/>
              </w:rPr>
              <w:t>服务完毕后乙方向甲方提出书面验收申请，甲方按照相关规定及服务验收标准组织验收。如验收不合格，乙方应在5日内完成整改。</w:t>
            </w:r>
          </w:p>
          <w:p w14:paraId="3AC2C770">
            <w:pPr>
              <w:pStyle w:val="18"/>
              <w:widowControl/>
              <w:numPr>
                <w:ilvl w:val="0"/>
                <w:numId w:val="1"/>
              </w:numPr>
              <w:shd w:val="clear" w:color="auto" w:fill="FFFFFF"/>
              <w:spacing w:line="360" w:lineRule="auto"/>
              <w:ind w:firstLineChars="0"/>
              <w:jc w:val="left"/>
              <w:rPr>
                <w:rFonts w:ascii="仿宋" w:hAnsi="仿宋" w:eastAsia="仿宋"/>
                <w:sz w:val="24"/>
                <w:szCs w:val="28"/>
              </w:rPr>
            </w:pPr>
            <w:r>
              <w:rPr>
                <w:rFonts w:hint="eastAsia" w:ascii="仿宋" w:hAnsi="仿宋" w:eastAsia="仿宋"/>
                <w:sz w:val="24"/>
                <w:szCs w:val="28"/>
              </w:rPr>
              <w:t>不得以任何形式将维保工作非法分包、转包。无论何时一经发现，采购人有权解除合同，不支付服务费用，同时，由此造成的一切损失由供应商自负。</w:t>
            </w:r>
          </w:p>
          <w:p w14:paraId="192E4130">
            <w:pPr>
              <w:pStyle w:val="18"/>
              <w:widowControl/>
              <w:numPr>
                <w:ilvl w:val="0"/>
                <w:numId w:val="1"/>
              </w:numPr>
              <w:shd w:val="clear" w:color="auto" w:fill="FFFFFF"/>
              <w:spacing w:line="360" w:lineRule="auto"/>
              <w:ind w:firstLineChars="0"/>
              <w:jc w:val="left"/>
              <w:rPr>
                <w:rFonts w:ascii="仿宋" w:hAnsi="仿宋" w:eastAsia="仿宋"/>
                <w:sz w:val="24"/>
                <w:szCs w:val="28"/>
              </w:rPr>
            </w:pPr>
            <w:r>
              <w:rPr>
                <w:rFonts w:hint="eastAsia" w:ascii="仿宋" w:hAnsi="仿宋" w:eastAsia="仿宋"/>
                <w:sz w:val="24"/>
                <w:szCs w:val="28"/>
              </w:rPr>
              <w:t>要在工作中采取必需的安全防护措施以保障供应商员工的安全，并自行承担劳动保护的必要保险和损害赔偿责任。</w:t>
            </w:r>
          </w:p>
          <w:p w14:paraId="150DEA26">
            <w:pPr>
              <w:pStyle w:val="18"/>
              <w:widowControl/>
              <w:numPr>
                <w:ilvl w:val="0"/>
                <w:numId w:val="1"/>
              </w:numPr>
              <w:shd w:val="clear" w:color="auto" w:fill="FFFFFF"/>
              <w:spacing w:line="360" w:lineRule="auto"/>
              <w:ind w:firstLineChars="0"/>
              <w:jc w:val="left"/>
              <w:rPr>
                <w:rFonts w:ascii="仿宋" w:hAnsi="仿宋" w:eastAsia="仿宋"/>
                <w:sz w:val="24"/>
                <w:szCs w:val="28"/>
              </w:rPr>
            </w:pPr>
            <w:r>
              <w:rPr>
                <w:rFonts w:hint="eastAsia" w:ascii="仿宋" w:hAnsi="仿宋" w:eastAsia="仿宋"/>
                <w:sz w:val="24"/>
                <w:szCs w:val="28"/>
              </w:rPr>
              <w:t>在履行合同的过程中，给采购人或第三方造成人身或财产损失，供应商承担全部赔偿责任。</w:t>
            </w:r>
          </w:p>
          <w:p w14:paraId="7B2FA4B2">
            <w:pPr>
              <w:pStyle w:val="18"/>
              <w:widowControl/>
              <w:numPr>
                <w:ilvl w:val="0"/>
                <w:numId w:val="1"/>
              </w:numPr>
              <w:shd w:val="clear" w:color="auto" w:fill="FFFFFF"/>
              <w:spacing w:line="360" w:lineRule="auto"/>
              <w:ind w:firstLineChars="0"/>
              <w:jc w:val="left"/>
              <w:rPr>
                <w:rFonts w:ascii="仿宋" w:hAnsi="仿宋" w:eastAsia="仿宋"/>
                <w:sz w:val="24"/>
                <w:szCs w:val="28"/>
              </w:rPr>
            </w:pPr>
            <w:r>
              <w:rPr>
                <w:rFonts w:hint="eastAsia" w:ascii="仿宋" w:hAnsi="仿宋" w:eastAsia="仿宋"/>
                <w:sz w:val="24"/>
                <w:szCs w:val="28"/>
              </w:rPr>
              <w:t>供应商人员在为采购人提供服务期间，必须服从采购人的出入规定、现场管理制度等规章，如有违反，采购人将视情节按照最低1000元/次的标准收取违约金，优先从合同服务费用中获取。</w:t>
            </w:r>
          </w:p>
          <w:p w14:paraId="5A69E23F">
            <w:pPr>
              <w:pStyle w:val="18"/>
              <w:widowControl/>
              <w:numPr>
                <w:ilvl w:val="0"/>
                <w:numId w:val="1"/>
              </w:numPr>
              <w:shd w:val="clear" w:color="auto" w:fill="FFFFFF"/>
              <w:spacing w:line="360" w:lineRule="auto"/>
              <w:ind w:firstLineChars="0"/>
              <w:jc w:val="left"/>
              <w:rPr>
                <w:rFonts w:ascii="仿宋" w:hAnsi="仿宋" w:eastAsia="仿宋"/>
                <w:sz w:val="24"/>
                <w:szCs w:val="28"/>
              </w:rPr>
            </w:pPr>
            <w:r>
              <w:rPr>
                <w:rFonts w:hint="eastAsia" w:ascii="仿宋" w:hAnsi="仿宋" w:eastAsia="仿宋"/>
                <w:sz w:val="24"/>
                <w:szCs w:val="28"/>
              </w:rPr>
              <w:t>每项维修自采购人确认维修完成之日起，供应商提供一年的免费保修服务，如因工料工艺不良而导致损坏时，负责无偿修复。</w:t>
            </w:r>
          </w:p>
          <w:p w14:paraId="1C87169F">
            <w:pPr>
              <w:pStyle w:val="18"/>
              <w:widowControl/>
              <w:numPr>
                <w:ilvl w:val="0"/>
                <w:numId w:val="1"/>
              </w:numPr>
              <w:shd w:val="clear" w:color="auto" w:fill="FFFFFF"/>
              <w:spacing w:line="360" w:lineRule="auto"/>
              <w:ind w:firstLineChars="0"/>
              <w:jc w:val="left"/>
              <w:rPr>
                <w:rFonts w:ascii="仿宋" w:hAnsi="仿宋" w:eastAsia="仿宋"/>
                <w:sz w:val="24"/>
                <w:szCs w:val="28"/>
              </w:rPr>
            </w:pPr>
            <w:r>
              <w:rPr>
                <w:rFonts w:hint="eastAsia" w:ascii="仿宋" w:hAnsi="仿宋" w:eastAsia="仿宋"/>
                <w:sz w:val="24"/>
                <w:szCs w:val="28"/>
              </w:rPr>
              <w:t>供应商每次维修、保养填写《维修工作单》记录相关信息，双方签字确认后各保存一份。</w:t>
            </w:r>
          </w:p>
          <w:p w14:paraId="62160CDA">
            <w:pPr>
              <w:pStyle w:val="18"/>
              <w:widowControl/>
              <w:numPr>
                <w:ilvl w:val="0"/>
                <w:numId w:val="1"/>
              </w:numPr>
              <w:shd w:val="clear" w:color="auto" w:fill="FFFFFF"/>
              <w:spacing w:line="360" w:lineRule="auto"/>
              <w:ind w:firstLineChars="0"/>
              <w:jc w:val="left"/>
              <w:rPr>
                <w:rFonts w:ascii="仿宋" w:hAnsi="仿宋" w:eastAsia="仿宋"/>
                <w:sz w:val="24"/>
                <w:szCs w:val="28"/>
              </w:rPr>
            </w:pPr>
            <w:r>
              <w:rPr>
                <w:rFonts w:hint="eastAsia" w:ascii="仿宋" w:hAnsi="仿宋" w:eastAsia="仿宋"/>
                <w:sz w:val="24"/>
                <w:szCs w:val="28"/>
              </w:rPr>
              <w:t>供应商每半年对受托维保的设备维保工作形成书面年度总结，对设备状况进行评估，并就系统设备的实际情况向采购人提出科学合理的使用运行建议等。</w:t>
            </w:r>
          </w:p>
          <w:p w14:paraId="040C0E22">
            <w:pPr>
              <w:pStyle w:val="18"/>
              <w:widowControl/>
              <w:numPr>
                <w:ilvl w:val="0"/>
                <w:numId w:val="1"/>
              </w:numPr>
              <w:shd w:val="clear" w:color="auto" w:fill="FFFFFF"/>
              <w:spacing w:line="360" w:lineRule="auto"/>
              <w:ind w:firstLineChars="0"/>
              <w:jc w:val="left"/>
              <w:rPr>
                <w:rFonts w:ascii="仿宋" w:hAnsi="仿宋" w:eastAsia="仿宋"/>
                <w:sz w:val="24"/>
                <w:szCs w:val="28"/>
              </w:rPr>
            </w:pPr>
            <w:r>
              <w:rPr>
                <w:rFonts w:hint="eastAsia" w:ascii="仿宋" w:hAnsi="仿宋" w:eastAsia="仿宋"/>
                <w:sz w:val="24"/>
                <w:szCs w:val="28"/>
              </w:rPr>
              <w:t>合同执行过程中，如采购人对本项目设备进行改造、拆除、更新等，将根据相应设备核减相应维保费用。</w:t>
            </w:r>
          </w:p>
        </w:tc>
      </w:tr>
    </w:tbl>
    <w:p w14:paraId="281A414B">
      <w:pPr>
        <w:spacing w:after="120" w:line="240" w:lineRule="auto"/>
        <w:ind w:firstLine="480" w:firstLineChars="200"/>
        <w:jc w:val="both"/>
        <w:rPr>
          <w:rFonts w:hint="eastAsia" w:ascii="仿宋" w:hAnsi="仿宋" w:eastAsia="仿宋" w:cs="仿宋"/>
          <w:b w:val="0"/>
          <w:i w:val="0"/>
          <w:iCs w:val="0"/>
          <w:caps w:val="0"/>
          <w:strike w:val="0"/>
          <w:color w:val="auto"/>
          <w:spacing w:val="0"/>
          <w:sz w:val="24"/>
          <w:szCs w:val="24"/>
          <w:u w:val="none"/>
        </w:rPr>
      </w:pPr>
    </w:p>
    <w:p w14:paraId="48F620F8">
      <w:pPr>
        <w:spacing w:after="120" w:line="240" w:lineRule="auto"/>
        <w:jc w:val="both"/>
        <w:rPr>
          <w:rFonts w:hint="eastAsia" w:ascii="仿宋" w:hAnsi="仿宋" w:eastAsia="仿宋" w:cs="仿宋"/>
          <w:b w:val="0"/>
          <w:i w:val="0"/>
          <w:iCs w:val="0"/>
          <w:caps w:val="0"/>
          <w:strike w:val="0"/>
          <w:color w:val="auto"/>
          <w:spacing w:val="0"/>
          <w:sz w:val="24"/>
          <w:szCs w:val="24"/>
          <w:u w:val="none"/>
        </w:rPr>
      </w:pPr>
    </w:p>
    <w:p w14:paraId="5EF733AF">
      <w:pPr>
        <w:spacing w:after="120" w:line="240" w:lineRule="auto"/>
        <w:jc w:val="both"/>
        <w:rPr>
          <w:rFonts w:hint="default" w:ascii="仿宋" w:hAnsi="仿宋" w:eastAsia="仿宋" w:cs="仿宋"/>
          <w:b/>
          <w:bCs/>
          <w:i w:val="0"/>
          <w:iCs w:val="0"/>
          <w:caps w:val="0"/>
          <w:strike w:val="0"/>
          <w:color w:val="auto"/>
          <w:spacing w:val="0"/>
          <w:sz w:val="28"/>
          <w:szCs w:val="28"/>
          <w:u w:val="none"/>
          <w:lang w:val="en-US" w:eastAsia="zh-CN"/>
        </w:rPr>
      </w:pPr>
      <w:r>
        <w:rPr>
          <w:rFonts w:hint="eastAsia" w:ascii="仿宋" w:hAnsi="仿宋" w:eastAsia="仿宋" w:cs="仿宋"/>
          <w:b/>
          <w:bCs/>
          <w:i w:val="0"/>
          <w:iCs w:val="0"/>
          <w:caps w:val="0"/>
          <w:strike w:val="0"/>
          <w:color w:val="auto"/>
          <w:spacing w:val="0"/>
          <w:sz w:val="28"/>
          <w:szCs w:val="28"/>
          <w:u w:val="none"/>
        </w:rPr>
        <w:t>联系人：</w:t>
      </w:r>
      <w:r>
        <w:rPr>
          <w:rFonts w:hint="eastAsia" w:ascii="仿宋" w:hAnsi="仿宋" w:eastAsia="仿宋" w:cs="仿宋"/>
          <w:b/>
          <w:bCs/>
          <w:i w:val="0"/>
          <w:iCs w:val="0"/>
          <w:caps w:val="0"/>
          <w:strike w:val="0"/>
          <w:color w:val="auto"/>
          <w:spacing w:val="0"/>
          <w:sz w:val="28"/>
          <w:szCs w:val="28"/>
          <w:u w:val="none"/>
          <w:lang w:val="en-US" w:eastAsia="zh-CN"/>
        </w:rPr>
        <w:t>韩</w:t>
      </w:r>
      <w:r>
        <w:rPr>
          <w:rFonts w:hint="eastAsia" w:ascii="仿宋" w:hAnsi="仿宋" w:eastAsia="仿宋" w:cs="仿宋"/>
          <w:b/>
          <w:bCs/>
          <w:i w:val="0"/>
          <w:iCs w:val="0"/>
          <w:caps w:val="0"/>
          <w:strike w:val="0"/>
          <w:color w:val="auto"/>
          <w:spacing w:val="0"/>
          <w:sz w:val="28"/>
          <w:szCs w:val="28"/>
          <w:u w:val="none"/>
        </w:rPr>
        <w:t>老师</w:t>
      </w:r>
      <w:r>
        <w:rPr>
          <w:rFonts w:hint="eastAsia" w:ascii="仿宋" w:hAnsi="仿宋" w:eastAsia="仿宋" w:cs="仿宋"/>
          <w:b/>
          <w:bCs/>
          <w:i w:val="0"/>
          <w:iCs w:val="0"/>
          <w:caps w:val="0"/>
          <w:strike w:val="0"/>
          <w:color w:val="auto"/>
          <w:spacing w:val="0"/>
          <w:sz w:val="28"/>
          <w:szCs w:val="28"/>
          <w:u w:val="none"/>
          <w:lang w:val="en-US" w:eastAsia="zh-CN"/>
        </w:rPr>
        <w:t xml:space="preserve"> </w:t>
      </w:r>
      <w:r>
        <w:rPr>
          <w:rFonts w:hint="eastAsia" w:ascii="仿宋" w:hAnsi="仿宋" w:eastAsia="仿宋" w:cs="仿宋"/>
          <w:b/>
          <w:bCs/>
          <w:i w:val="0"/>
          <w:iCs w:val="0"/>
          <w:caps w:val="0"/>
          <w:strike w:val="0"/>
          <w:color w:val="auto"/>
          <w:spacing w:val="0"/>
          <w:sz w:val="28"/>
          <w:szCs w:val="28"/>
          <w:u w:val="none"/>
        </w:rPr>
        <w:t>0551-6360</w:t>
      </w:r>
      <w:r>
        <w:rPr>
          <w:rFonts w:hint="eastAsia" w:ascii="仿宋" w:hAnsi="仿宋" w:eastAsia="仿宋" w:cs="仿宋"/>
          <w:b/>
          <w:bCs/>
          <w:i w:val="0"/>
          <w:iCs w:val="0"/>
          <w:caps w:val="0"/>
          <w:strike w:val="0"/>
          <w:color w:val="auto"/>
          <w:spacing w:val="0"/>
          <w:sz w:val="28"/>
          <w:szCs w:val="28"/>
          <w:u w:val="none"/>
          <w:lang w:val="en-US" w:eastAsia="zh-CN"/>
        </w:rPr>
        <w:t>0178</w:t>
      </w:r>
      <w:r>
        <w:rPr>
          <w:rFonts w:hint="eastAsia" w:ascii="仿宋" w:hAnsi="仿宋" w:eastAsia="仿宋" w:cs="仿宋"/>
          <w:b/>
          <w:bCs/>
          <w:i w:val="0"/>
          <w:iCs w:val="0"/>
          <w:caps w:val="0"/>
          <w:strike w:val="0"/>
          <w:color w:val="auto"/>
          <w:spacing w:val="0"/>
          <w:sz w:val="28"/>
          <w:szCs w:val="28"/>
          <w:u w:val="none"/>
          <w:lang w:eastAsia="zh-CN"/>
        </w:rPr>
        <w:t>（</w:t>
      </w:r>
      <w:r>
        <w:rPr>
          <w:rFonts w:hint="eastAsia" w:ascii="仿宋" w:hAnsi="仿宋" w:eastAsia="仿宋" w:cs="仿宋"/>
          <w:b/>
          <w:bCs/>
          <w:i w:val="0"/>
          <w:iCs w:val="0"/>
          <w:caps w:val="0"/>
          <w:strike w:val="0"/>
          <w:color w:val="auto"/>
          <w:spacing w:val="0"/>
          <w:sz w:val="28"/>
          <w:szCs w:val="28"/>
          <w:u w:val="none"/>
          <w:lang w:val="en-US" w:eastAsia="zh-CN"/>
        </w:rPr>
        <w:t>请在工作时间联系），如需进校踏勘请提前联系。</w:t>
      </w:r>
    </w:p>
    <w:p w14:paraId="07374FE5">
      <w:pPr>
        <w:ind w:left="422"/>
        <w:jc w:val="center"/>
        <w:rPr>
          <w:b/>
          <w:bCs/>
          <w:color w:val="000000"/>
          <w:sz w:val="22"/>
          <w:szCs w:val="28"/>
        </w:rPr>
        <w:sectPr>
          <w:pgSz w:w="11906" w:h="16838"/>
          <w:pgMar w:top="1440" w:right="1361" w:bottom="1440" w:left="1361" w:header="851" w:footer="992" w:gutter="0"/>
          <w:cols w:space="425" w:num="1"/>
          <w:docGrid w:type="lines" w:linePitch="312" w:charSpace="0"/>
        </w:sectPr>
      </w:pPr>
    </w:p>
    <w:p w14:paraId="2098338C">
      <w:pPr>
        <w:jc w:val="center"/>
      </w:pPr>
    </w:p>
    <w:p w14:paraId="205D1729">
      <w:pPr>
        <w:jc w:val="center"/>
        <w:rPr>
          <w:rFonts w:hint="eastAsia"/>
        </w:rPr>
      </w:pPr>
      <w:r>
        <w:rPr>
          <w:rFonts w:hint="eastAsia"/>
        </w:rPr>
        <w:t>附件：电动液压升降桩统计（如有表述不准确的地方请修正）</w:t>
      </w:r>
    </w:p>
    <w:p w14:paraId="2DA7196A">
      <w:pPr>
        <w:jc w:val="center"/>
        <w:rPr>
          <w:rFonts w:hint="eastAsia"/>
        </w:rPr>
      </w:pPr>
      <w:r>
        <w:rPr>
          <w:rFonts w:hint="eastAsia"/>
          <w:lang w:val="en-US" w:eastAsia="zh-CN"/>
        </w:rPr>
        <w:t>总计13套控制系统，65套升降桩</w:t>
      </w:r>
    </w:p>
    <w:tbl>
      <w:tblPr>
        <w:tblStyle w:val="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653"/>
        <w:gridCol w:w="4185"/>
        <w:gridCol w:w="1073"/>
        <w:gridCol w:w="1299"/>
        <w:gridCol w:w="1640"/>
        <w:gridCol w:w="4118"/>
      </w:tblGrid>
      <w:tr w14:paraId="5E572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0" w:hRule="atLeast"/>
        </w:trPr>
        <w:tc>
          <w:tcPr>
            <w:tcW w:w="592" w:type="pct"/>
            <w:vAlign w:val="center"/>
          </w:tcPr>
          <w:p w14:paraId="0EFFE490">
            <w:pPr>
              <w:pStyle w:val="13"/>
              <w:spacing w:before="161"/>
              <w:jc w:val="center"/>
              <w:rPr>
                <w:rFonts w:ascii="仿宋" w:hAnsi="仿宋" w:eastAsia="仿宋"/>
                <w:sz w:val="24"/>
                <w:szCs w:val="24"/>
                <w:lang w:eastAsia="en-US"/>
              </w:rPr>
            </w:pPr>
            <w:r>
              <w:rPr>
                <w:rFonts w:hint="eastAsia" w:ascii="仿宋" w:hAnsi="仿宋" w:eastAsia="仿宋"/>
                <w:sz w:val="24"/>
                <w:szCs w:val="24"/>
              </w:rPr>
              <w:t>安装位置</w:t>
            </w:r>
          </w:p>
        </w:tc>
        <w:tc>
          <w:tcPr>
            <w:tcW w:w="1498" w:type="pct"/>
            <w:shd w:val="clear" w:color="auto" w:fill="auto"/>
            <w:vAlign w:val="center"/>
          </w:tcPr>
          <w:p w14:paraId="3BD3D4F6">
            <w:pPr>
              <w:pStyle w:val="13"/>
              <w:spacing w:before="161"/>
              <w:jc w:val="center"/>
              <w:rPr>
                <w:rFonts w:ascii="仿宋" w:hAnsi="仿宋" w:eastAsia="仿宋"/>
                <w:sz w:val="24"/>
                <w:szCs w:val="24"/>
                <w:lang w:eastAsia="en-US"/>
              </w:rPr>
            </w:pPr>
            <w:r>
              <w:rPr>
                <w:rFonts w:ascii="仿宋" w:hAnsi="仿宋" w:eastAsia="仿宋"/>
                <w:sz w:val="24"/>
                <w:szCs w:val="24"/>
                <w:lang w:eastAsia="en-US"/>
              </w:rPr>
              <w:t>设备名称</w:t>
            </w:r>
          </w:p>
        </w:tc>
        <w:tc>
          <w:tcPr>
            <w:tcW w:w="384" w:type="pct"/>
            <w:shd w:val="clear" w:color="auto" w:fill="auto"/>
            <w:vAlign w:val="center"/>
          </w:tcPr>
          <w:p w14:paraId="747C927F">
            <w:pPr>
              <w:pStyle w:val="13"/>
              <w:spacing w:before="161"/>
              <w:ind w:left="280" w:right="272"/>
              <w:jc w:val="center"/>
              <w:rPr>
                <w:rFonts w:ascii="仿宋" w:hAnsi="仿宋" w:eastAsia="仿宋"/>
                <w:sz w:val="24"/>
                <w:szCs w:val="24"/>
                <w:lang w:eastAsia="en-US"/>
              </w:rPr>
            </w:pPr>
            <w:r>
              <w:rPr>
                <w:rFonts w:ascii="仿宋" w:hAnsi="仿宋" w:eastAsia="仿宋"/>
                <w:sz w:val="24"/>
                <w:szCs w:val="24"/>
                <w:lang w:eastAsia="en-US"/>
              </w:rPr>
              <w:t>单位</w:t>
            </w:r>
          </w:p>
        </w:tc>
        <w:tc>
          <w:tcPr>
            <w:tcW w:w="465" w:type="pct"/>
            <w:shd w:val="clear" w:color="auto" w:fill="auto"/>
            <w:vAlign w:val="center"/>
          </w:tcPr>
          <w:p w14:paraId="6555716D">
            <w:pPr>
              <w:pStyle w:val="13"/>
              <w:spacing w:before="161"/>
              <w:ind w:left="121" w:right="110"/>
              <w:jc w:val="center"/>
              <w:rPr>
                <w:rFonts w:ascii="仿宋" w:hAnsi="仿宋" w:eastAsia="仿宋"/>
                <w:sz w:val="24"/>
                <w:szCs w:val="24"/>
                <w:lang w:eastAsia="en-US"/>
              </w:rPr>
            </w:pPr>
            <w:r>
              <w:rPr>
                <w:rFonts w:ascii="仿宋" w:hAnsi="仿宋" w:eastAsia="仿宋"/>
                <w:sz w:val="24"/>
                <w:szCs w:val="24"/>
                <w:lang w:eastAsia="en-US"/>
              </w:rPr>
              <w:t>数量</w:t>
            </w:r>
          </w:p>
        </w:tc>
        <w:tc>
          <w:tcPr>
            <w:tcW w:w="587" w:type="pct"/>
            <w:vAlign w:val="center"/>
          </w:tcPr>
          <w:p w14:paraId="2139E0C2">
            <w:pPr>
              <w:pStyle w:val="13"/>
              <w:spacing w:before="161"/>
              <w:ind w:left="121" w:right="110"/>
              <w:jc w:val="center"/>
              <w:rPr>
                <w:rFonts w:ascii="仿宋" w:hAnsi="仿宋" w:eastAsia="仿宋"/>
                <w:sz w:val="24"/>
                <w:szCs w:val="24"/>
                <w:lang w:eastAsia="en-US"/>
              </w:rPr>
            </w:pPr>
            <w:r>
              <w:rPr>
                <w:rFonts w:hint="eastAsia" w:ascii="仿宋" w:hAnsi="仿宋" w:eastAsia="仿宋"/>
                <w:sz w:val="24"/>
                <w:szCs w:val="24"/>
              </w:rPr>
              <w:t>安装时间</w:t>
            </w:r>
          </w:p>
        </w:tc>
        <w:tc>
          <w:tcPr>
            <w:tcW w:w="1474" w:type="pct"/>
          </w:tcPr>
          <w:p w14:paraId="7CEBD6C7">
            <w:pPr>
              <w:pStyle w:val="13"/>
              <w:spacing w:before="161"/>
              <w:ind w:left="121" w:right="110"/>
              <w:jc w:val="center"/>
              <w:rPr>
                <w:rFonts w:ascii="仿宋" w:hAnsi="仿宋" w:eastAsia="仿宋"/>
                <w:sz w:val="24"/>
                <w:szCs w:val="24"/>
              </w:rPr>
            </w:pPr>
            <w:r>
              <w:rPr>
                <w:rFonts w:hint="eastAsia" w:ascii="仿宋" w:hAnsi="仿宋" w:eastAsia="仿宋"/>
                <w:sz w:val="24"/>
                <w:szCs w:val="24"/>
              </w:rPr>
              <w:t>现场照片</w:t>
            </w:r>
          </w:p>
        </w:tc>
      </w:tr>
      <w:tr w14:paraId="1F1B4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0" w:hRule="atLeast"/>
        </w:trPr>
        <w:tc>
          <w:tcPr>
            <w:tcW w:w="592" w:type="pct"/>
            <w:vMerge w:val="restart"/>
            <w:vAlign w:val="center"/>
          </w:tcPr>
          <w:p w14:paraId="6966156B">
            <w:pPr>
              <w:pStyle w:val="13"/>
              <w:spacing w:before="161"/>
              <w:jc w:val="center"/>
              <w:rPr>
                <w:rFonts w:ascii="仿宋" w:hAnsi="仿宋" w:eastAsia="仿宋"/>
                <w:sz w:val="24"/>
                <w:szCs w:val="24"/>
              </w:rPr>
            </w:pPr>
            <w:r>
              <w:rPr>
                <w:rFonts w:hint="eastAsia" w:ascii="仿宋" w:hAnsi="仿宋" w:eastAsia="仿宋"/>
                <w:sz w:val="24"/>
                <w:szCs w:val="24"/>
              </w:rPr>
              <w:t>东区郭沫若路与四牌楼路交口（学生服务中心楼下）</w:t>
            </w:r>
          </w:p>
        </w:tc>
        <w:tc>
          <w:tcPr>
            <w:tcW w:w="1498" w:type="pct"/>
            <w:shd w:val="clear" w:color="auto" w:fill="auto"/>
            <w:vAlign w:val="center"/>
          </w:tcPr>
          <w:p w14:paraId="58FC469E">
            <w:pPr>
              <w:pStyle w:val="13"/>
              <w:spacing w:before="2" w:line="289" w:lineRule="exact"/>
              <w:rPr>
                <w:rFonts w:ascii="仿宋" w:hAnsi="仿宋" w:eastAsia="仿宋"/>
                <w:sz w:val="24"/>
                <w:szCs w:val="24"/>
              </w:rPr>
            </w:pPr>
            <w:r>
              <w:rPr>
                <w:rFonts w:hint="eastAsia" w:ascii="仿宋" w:hAnsi="仿宋" w:eastAsia="仿宋"/>
                <w:sz w:val="24"/>
                <w:szCs w:val="24"/>
              </w:rPr>
              <w:t>电动</w:t>
            </w:r>
            <w:r>
              <w:rPr>
                <w:rFonts w:ascii="仿宋" w:hAnsi="仿宋" w:eastAsia="仿宋"/>
                <w:sz w:val="24"/>
                <w:szCs w:val="24"/>
              </w:rPr>
              <w:t>液压一体升降柱</w:t>
            </w:r>
          </w:p>
        </w:tc>
        <w:tc>
          <w:tcPr>
            <w:tcW w:w="384" w:type="pct"/>
            <w:shd w:val="clear" w:color="auto" w:fill="auto"/>
            <w:vAlign w:val="center"/>
          </w:tcPr>
          <w:p w14:paraId="68805718">
            <w:pPr>
              <w:jc w:val="center"/>
            </w:pPr>
            <w:r>
              <w:rPr>
                <w:rFonts w:hint="eastAsia" w:ascii="仿宋" w:hAnsi="仿宋" w:eastAsia="仿宋"/>
                <w:sz w:val="24"/>
              </w:rPr>
              <w:t>套</w:t>
            </w:r>
          </w:p>
        </w:tc>
        <w:tc>
          <w:tcPr>
            <w:tcW w:w="465" w:type="pct"/>
            <w:shd w:val="clear" w:color="auto" w:fill="auto"/>
            <w:vAlign w:val="center"/>
          </w:tcPr>
          <w:p w14:paraId="4CDD55AB">
            <w:pPr>
              <w:pStyle w:val="13"/>
              <w:spacing w:before="161"/>
              <w:ind w:left="121" w:right="110"/>
              <w:jc w:val="center"/>
              <w:rPr>
                <w:rFonts w:ascii="仿宋" w:hAnsi="仿宋" w:eastAsia="仿宋"/>
                <w:sz w:val="24"/>
                <w:szCs w:val="24"/>
              </w:rPr>
            </w:pPr>
            <w:r>
              <w:rPr>
                <w:rFonts w:hint="eastAsia" w:ascii="仿宋" w:hAnsi="仿宋" w:eastAsia="仿宋"/>
                <w:sz w:val="24"/>
                <w:szCs w:val="24"/>
              </w:rPr>
              <w:t>4</w:t>
            </w:r>
          </w:p>
        </w:tc>
        <w:tc>
          <w:tcPr>
            <w:tcW w:w="587" w:type="pct"/>
            <w:vMerge w:val="restart"/>
            <w:vAlign w:val="center"/>
          </w:tcPr>
          <w:p w14:paraId="2089C166">
            <w:pPr>
              <w:pStyle w:val="13"/>
              <w:spacing w:before="161"/>
              <w:ind w:left="121" w:right="110"/>
              <w:jc w:val="center"/>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018</w:t>
            </w:r>
            <w:r>
              <w:rPr>
                <w:rFonts w:hint="eastAsia" w:ascii="仿宋" w:hAnsi="仿宋" w:eastAsia="仿宋"/>
                <w:sz w:val="24"/>
                <w:szCs w:val="24"/>
              </w:rPr>
              <w:t>年前</w:t>
            </w:r>
          </w:p>
        </w:tc>
        <w:tc>
          <w:tcPr>
            <w:tcW w:w="1474" w:type="pct"/>
            <w:vMerge w:val="restart"/>
          </w:tcPr>
          <w:p w14:paraId="471968B7">
            <w:pPr>
              <w:pStyle w:val="13"/>
              <w:spacing w:before="161"/>
              <w:ind w:left="121" w:right="110"/>
              <w:jc w:val="center"/>
              <w:rPr>
                <w:rFonts w:ascii="仿宋" w:hAnsi="仿宋" w:eastAsia="仿宋"/>
                <w:sz w:val="24"/>
                <w:szCs w:val="24"/>
              </w:rPr>
            </w:pPr>
            <w:r>
              <w:rPr>
                <w:rFonts w:ascii="仿宋" w:hAnsi="仿宋" w:eastAsia="仿宋"/>
                <w:sz w:val="24"/>
                <w:szCs w:val="24"/>
                <w:lang w:val="en-US" w:bidi="ar-SA"/>
              </w:rPr>
              <w:drawing>
                <wp:inline distT="0" distB="0" distL="0" distR="0">
                  <wp:extent cx="1767840" cy="735965"/>
                  <wp:effectExtent l="0" t="0" r="3810" b="6985"/>
                  <wp:docPr id="1026" name="图片 2" descr="C:\Users\qyy\AppData\Local\Temp\WeChat Files\0081d427b998a29c0837c29835f0d2b.jpg"/>
                  <wp:cNvGraphicFramePr/>
                  <a:graphic xmlns:a="http://schemas.openxmlformats.org/drawingml/2006/main">
                    <a:graphicData uri="http://schemas.openxmlformats.org/drawingml/2006/picture">
                      <pic:pic xmlns:pic="http://schemas.openxmlformats.org/drawingml/2006/picture">
                        <pic:nvPicPr>
                          <pic:cNvPr id="1026" name="图片 2" descr="C:\Users\qyy\AppData\Local\Temp\WeChat Files\0081d427b998a29c0837c29835f0d2b.jpg"/>
                          <pic:cNvPicPr/>
                        </pic:nvPicPr>
                        <pic:blipFill>
                          <a:blip r:embed="rId6" cstate="print"/>
                          <a:srcRect/>
                          <a:stretch>
                            <a:fillRect/>
                          </a:stretch>
                        </pic:blipFill>
                        <pic:spPr>
                          <a:xfrm>
                            <a:off x="0" y="0"/>
                            <a:ext cx="1767840" cy="735965"/>
                          </a:xfrm>
                          <a:prstGeom prst="rect">
                            <a:avLst/>
                          </a:prstGeom>
                          <a:ln>
                            <a:noFill/>
                          </a:ln>
                        </pic:spPr>
                      </pic:pic>
                    </a:graphicData>
                  </a:graphic>
                </wp:inline>
              </w:drawing>
            </w:r>
          </w:p>
        </w:tc>
      </w:tr>
      <w:tr w14:paraId="55E43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0" w:hRule="atLeast"/>
        </w:trPr>
        <w:tc>
          <w:tcPr>
            <w:tcW w:w="592" w:type="pct"/>
            <w:vMerge w:val="continue"/>
            <w:vAlign w:val="center"/>
          </w:tcPr>
          <w:p w14:paraId="6C409883">
            <w:pPr>
              <w:pStyle w:val="13"/>
              <w:spacing w:before="161"/>
              <w:jc w:val="center"/>
              <w:rPr>
                <w:rFonts w:ascii="仿宋" w:hAnsi="仿宋" w:eastAsia="仿宋"/>
                <w:sz w:val="24"/>
                <w:szCs w:val="24"/>
              </w:rPr>
            </w:pPr>
          </w:p>
        </w:tc>
        <w:tc>
          <w:tcPr>
            <w:tcW w:w="1498" w:type="pct"/>
            <w:shd w:val="clear" w:color="auto" w:fill="auto"/>
            <w:vAlign w:val="center"/>
          </w:tcPr>
          <w:p w14:paraId="6C5FB5D5">
            <w:pPr>
              <w:pStyle w:val="13"/>
              <w:spacing w:before="2" w:line="289" w:lineRule="exact"/>
              <w:rPr>
                <w:rFonts w:ascii="仿宋" w:hAnsi="仿宋" w:eastAsia="仿宋"/>
                <w:sz w:val="24"/>
                <w:szCs w:val="24"/>
              </w:rPr>
            </w:pPr>
            <w:r>
              <w:rPr>
                <w:rFonts w:ascii="仿宋" w:hAnsi="仿宋" w:eastAsia="仿宋"/>
                <w:sz w:val="24"/>
                <w:szCs w:val="24"/>
                <w:lang w:eastAsia="en-US"/>
              </w:rPr>
              <w:t>室</w:t>
            </w:r>
            <w:r>
              <w:rPr>
                <w:rFonts w:hint="eastAsia" w:ascii="仿宋" w:hAnsi="仿宋" w:eastAsia="仿宋"/>
                <w:sz w:val="24"/>
                <w:szCs w:val="24"/>
              </w:rPr>
              <w:t>外</w:t>
            </w:r>
            <w:r>
              <w:rPr>
                <w:rFonts w:ascii="仿宋" w:hAnsi="仿宋" w:eastAsia="仿宋"/>
                <w:sz w:val="24"/>
                <w:szCs w:val="24"/>
                <w:lang w:eastAsia="en-US"/>
              </w:rPr>
              <w:t>智能控制系统</w:t>
            </w:r>
          </w:p>
        </w:tc>
        <w:tc>
          <w:tcPr>
            <w:tcW w:w="384" w:type="pct"/>
            <w:shd w:val="clear" w:color="auto" w:fill="auto"/>
            <w:vAlign w:val="center"/>
          </w:tcPr>
          <w:p w14:paraId="67BD37C9">
            <w:pPr>
              <w:jc w:val="center"/>
            </w:pPr>
            <w:r>
              <w:rPr>
                <w:rFonts w:hint="eastAsia" w:ascii="仿宋" w:hAnsi="仿宋" w:eastAsia="仿宋"/>
                <w:sz w:val="24"/>
              </w:rPr>
              <w:t>套</w:t>
            </w:r>
          </w:p>
        </w:tc>
        <w:tc>
          <w:tcPr>
            <w:tcW w:w="465" w:type="pct"/>
            <w:shd w:val="clear" w:color="auto" w:fill="auto"/>
            <w:vAlign w:val="center"/>
          </w:tcPr>
          <w:p w14:paraId="2A64C585">
            <w:pPr>
              <w:pStyle w:val="13"/>
              <w:spacing w:before="161"/>
              <w:ind w:left="121" w:right="110"/>
              <w:jc w:val="center"/>
              <w:rPr>
                <w:rFonts w:ascii="仿宋" w:hAnsi="仿宋" w:eastAsia="仿宋"/>
                <w:sz w:val="24"/>
                <w:szCs w:val="24"/>
              </w:rPr>
            </w:pPr>
            <w:r>
              <w:rPr>
                <w:rFonts w:hint="eastAsia" w:ascii="仿宋" w:hAnsi="仿宋" w:eastAsia="仿宋"/>
                <w:sz w:val="24"/>
                <w:szCs w:val="24"/>
              </w:rPr>
              <w:t>1</w:t>
            </w:r>
          </w:p>
        </w:tc>
        <w:tc>
          <w:tcPr>
            <w:tcW w:w="587" w:type="pct"/>
            <w:vMerge w:val="continue"/>
            <w:vAlign w:val="center"/>
          </w:tcPr>
          <w:p w14:paraId="07CC0B51">
            <w:pPr>
              <w:pStyle w:val="13"/>
              <w:spacing w:before="161"/>
              <w:ind w:left="121" w:right="110"/>
              <w:jc w:val="center"/>
              <w:rPr>
                <w:rFonts w:ascii="仿宋" w:hAnsi="仿宋" w:eastAsia="仿宋"/>
                <w:sz w:val="24"/>
                <w:szCs w:val="24"/>
              </w:rPr>
            </w:pPr>
          </w:p>
        </w:tc>
        <w:tc>
          <w:tcPr>
            <w:tcW w:w="1474" w:type="pct"/>
            <w:vMerge w:val="continue"/>
          </w:tcPr>
          <w:p w14:paraId="64D658BF">
            <w:pPr>
              <w:pStyle w:val="13"/>
              <w:spacing w:before="161"/>
              <w:ind w:left="121" w:right="110"/>
              <w:jc w:val="center"/>
              <w:rPr>
                <w:rFonts w:ascii="仿宋" w:hAnsi="仿宋" w:eastAsia="仿宋"/>
                <w:sz w:val="24"/>
                <w:szCs w:val="24"/>
              </w:rPr>
            </w:pPr>
          </w:p>
        </w:tc>
      </w:tr>
      <w:tr w14:paraId="38A77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trPr>
        <w:tc>
          <w:tcPr>
            <w:tcW w:w="592" w:type="pct"/>
            <w:vMerge w:val="restart"/>
            <w:vAlign w:val="center"/>
          </w:tcPr>
          <w:p w14:paraId="3C72E7A5">
            <w:pPr>
              <w:rPr>
                <w:rFonts w:ascii="仿宋" w:hAnsi="仿宋" w:eastAsia="仿宋"/>
                <w:sz w:val="24"/>
              </w:rPr>
            </w:pPr>
            <w:r>
              <w:rPr>
                <w:rFonts w:hint="eastAsia" w:ascii="仿宋" w:hAnsi="仿宋" w:eastAsia="仿宋"/>
                <w:sz w:val="24"/>
              </w:rPr>
              <w:t>东区天使路与瀚海路交口（教一楼东北角）</w:t>
            </w:r>
          </w:p>
          <w:p w14:paraId="4E4BBDCE">
            <w:pPr>
              <w:rPr>
                <w:rFonts w:ascii="仿宋" w:hAnsi="仿宋" w:eastAsia="仿宋"/>
                <w:sz w:val="24"/>
              </w:rPr>
            </w:pPr>
          </w:p>
          <w:p w14:paraId="2A63BDAF">
            <w:pPr>
              <w:rPr>
                <w:rFonts w:ascii="仿宋" w:hAnsi="仿宋" w:eastAsia="仿宋"/>
                <w:sz w:val="24"/>
              </w:rPr>
            </w:pPr>
            <w:r>
              <w:rPr>
                <w:rFonts w:hint="eastAsia" w:ascii="仿宋" w:hAnsi="仿宋" w:eastAsia="仿宋"/>
                <w:sz w:val="24"/>
              </w:rPr>
              <w:t>东区玉泉南路与四牌楼路交口（学生公寓2</w:t>
            </w:r>
            <w:r>
              <w:rPr>
                <w:rFonts w:ascii="仿宋" w:hAnsi="仿宋" w:eastAsia="仿宋"/>
                <w:sz w:val="24"/>
              </w:rPr>
              <w:t>30</w:t>
            </w:r>
            <w:r>
              <w:rPr>
                <w:rFonts w:hint="eastAsia" w:ascii="仿宋" w:hAnsi="仿宋" w:eastAsia="仿宋"/>
                <w:sz w:val="24"/>
              </w:rPr>
              <w:t>与2</w:t>
            </w:r>
            <w:r>
              <w:rPr>
                <w:rFonts w:ascii="仿宋" w:hAnsi="仿宋" w:eastAsia="仿宋"/>
                <w:sz w:val="24"/>
              </w:rPr>
              <w:t>22</w:t>
            </w:r>
            <w:r>
              <w:rPr>
                <w:rFonts w:hint="eastAsia" w:ascii="仿宋" w:hAnsi="仿宋" w:eastAsia="仿宋"/>
                <w:sz w:val="24"/>
              </w:rPr>
              <w:t>之间）</w:t>
            </w:r>
          </w:p>
          <w:p w14:paraId="093754C8">
            <w:pPr>
              <w:rPr>
                <w:rFonts w:ascii="仿宋" w:hAnsi="仿宋" w:eastAsia="仿宋"/>
                <w:sz w:val="24"/>
              </w:rPr>
            </w:pPr>
          </w:p>
          <w:p w14:paraId="18D4A5E6">
            <w:pPr>
              <w:rPr>
                <w:rFonts w:ascii="仿宋" w:hAnsi="仿宋" w:eastAsia="仿宋"/>
                <w:sz w:val="24"/>
              </w:rPr>
            </w:pPr>
            <w:r>
              <w:rPr>
                <w:rFonts w:hint="eastAsia" w:ascii="仿宋" w:hAnsi="仿宋" w:eastAsia="仿宋"/>
                <w:sz w:val="24"/>
              </w:rPr>
              <w:t>东区郭沫若路与红专路交口</w:t>
            </w:r>
          </w:p>
          <w:p w14:paraId="67367008">
            <w:pPr>
              <w:rPr>
                <w:rFonts w:ascii="仿宋" w:hAnsi="仿宋" w:eastAsia="仿宋"/>
                <w:sz w:val="24"/>
              </w:rPr>
            </w:pPr>
            <w:r>
              <w:rPr>
                <w:rFonts w:hint="eastAsia" w:ascii="仿宋" w:hAnsi="仿宋" w:eastAsia="仿宋"/>
                <w:sz w:val="24"/>
              </w:rPr>
              <w:t>（老图书馆西）</w:t>
            </w:r>
          </w:p>
          <w:p w14:paraId="0F25E453">
            <w:pPr>
              <w:rPr>
                <w:rFonts w:ascii="仿宋" w:hAnsi="仿宋" w:eastAsia="仿宋"/>
                <w:sz w:val="24"/>
              </w:rPr>
            </w:pPr>
          </w:p>
          <w:p w14:paraId="28EDA1E5">
            <w:pPr>
              <w:rPr>
                <w:rFonts w:ascii="仿宋" w:hAnsi="仿宋" w:eastAsia="仿宋"/>
                <w:sz w:val="24"/>
              </w:rPr>
            </w:pPr>
            <w:r>
              <w:rPr>
                <w:rFonts w:hint="eastAsia" w:ascii="仿宋" w:hAnsi="仿宋" w:eastAsia="仿宋"/>
                <w:sz w:val="24"/>
              </w:rPr>
              <w:t>东区郭沫若路与孺子牛路交口（新图书馆西）</w:t>
            </w:r>
          </w:p>
          <w:p w14:paraId="65D1473C">
            <w:pPr>
              <w:rPr>
                <w:rFonts w:ascii="仿宋" w:hAnsi="仿宋" w:eastAsia="仿宋"/>
                <w:sz w:val="24"/>
              </w:rPr>
            </w:pPr>
          </w:p>
          <w:p w14:paraId="6F60077A">
            <w:pPr>
              <w:rPr>
                <w:rFonts w:ascii="仿宋" w:hAnsi="仿宋" w:eastAsia="仿宋"/>
                <w:sz w:val="24"/>
              </w:rPr>
            </w:pPr>
            <w:r>
              <w:rPr>
                <w:rFonts w:hint="eastAsia" w:ascii="仿宋" w:hAnsi="仿宋" w:eastAsia="仿宋"/>
                <w:sz w:val="24"/>
              </w:rPr>
              <w:t>东区孺子牛路与志学路交口（食堂</w:t>
            </w:r>
            <w:r>
              <w:rPr>
                <w:rFonts w:hint="eastAsia" w:ascii="宋体" w:hAnsi="宋体"/>
                <w:sz w:val="24"/>
                <w:szCs w:val="28"/>
              </w:rPr>
              <w:t>东）</w:t>
            </w:r>
          </w:p>
        </w:tc>
        <w:tc>
          <w:tcPr>
            <w:tcW w:w="1498" w:type="pct"/>
            <w:shd w:val="clear" w:color="auto" w:fill="auto"/>
            <w:vAlign w:val="center"/>
          </w:tcPr>
          <w:p w14:paraId="4F482641">
            <w:pPr>
              <w:pStyle w:val="13"/>
              <w:spacing w:before="2" w:line="289" w:lineRule="exact"/>
              <w:rPr>
                <w:rFonts w:ascii="仿宋" w:hAnsi="仿宋" w:eastAsia="仿宋"/>
                <w:sz w:val="24"/>
                <w:szCs w:val="24"/>
              </w:rPr>
            </w:pPr>
            <w:r>
              <w:rPr>
                <w:rFonts w:hint="eastAsia" w:ascii="仿宋" w:hAnsi="仿宋" w:eastAsia="仿宋"/>
                <w:sz w:val="24"/>
                <w:szCs w:val="24"/>
              </w:rPr>
              <w:t>电动</w:t>
            </w:r>
            <w:r>
              <w:rPr>
                <w:rFonts w:ascii="仿宋" w:hAnsi="仿宋" w:eastAsia="仿宋"/>
                <w:sz w:val="24"/>
                <w:szCs w:val="24"/>
              </w:rPr>
              <w:t>液压一体升降柱</w:t>
            </w:r>
          </w:p>
        </w:tc>
        <w:tc>
          <w:tcPr>
            <w:tcW w:w="384" w:type="pct"/>
            <w:shd w:val="clear" w:color="auto" w:fill="auto"/>
            <w:vAlign w:val="center"/>
          </w:tcPr>
          <w:p w14:paraId="1A599300">
            <w:pPr>
              <w:jc w:val="center"/>
            </w:pPr>
            <w:r>
              <w:rPr>
                <w:rFonts w:hint="eastAsia" w:ascii="仿宋" w:hAnsi="仿宋" w:eastAsia="仿宋"/>
                <w:sz w:val="24"/>
              </w:rPr>
              <w:t>套</w:t>
            </w:r>
          </w:p>
        </w:tc>
        <w:tc>
          <w:tcPr>
            <w:tcW w:w="465" w:type="pct"/>
            <w:shd w:val="clear" w:color="auto" w:fill="auto"/>
            <w:vAlign w:val="center"/>
          </w:tcPr>
          <w:p w14:paraId="5070E68D">
            <w:pPr>
              <w:pStyle w:val="13"/>
              <w:spacing w:before="161"/>
              <w:ind w:left="121" w:right="110"/>
              <w:jc w:val="center"/>
              <w:rPr>
                <w:rFonts w:ascii="仿宋" w:hAnsi="仿宋" w:eastAsia="仿宋"/>
                <w:sz w:val="24"/>
                <w:szCs w:val="24"/>
              </w:rPr>
            </w:pPr>
            <w:r>
              <w:rPr>
                <w:rFonts w:ascii="仿宋" w:hAnsi="仿宋" w:eastAsia="仿宋"/>
                <w:sz w:val="24"/>
                <w:szCs w:val="24"/>
              </w:rPr>
              <w:t>22</w:t>
            </w:r>
          </w:p>
        </w:tc>
        <w:tc>
          <w:tcPr>
            <w:tcW w:w="587" w:type="pct"/>
            <w:vMerge w:val="restart"/>
            <w:vAlign w:val="center"/>
          </w:tcPr>
          <w:p w14:paraId="07AFF128">
            <w:pPr>
              <w:pStyle w:val="13"/>
              <w:spacing w:before="161"/>
              <w:ind w:left="121" w:right="110"/>
              <w:jc w:val="center"/>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018</w:t>
            </w:r>
            <w:r>
              <w:rPr>
                <w:rFonts w:hint="eastAsia" w:ascii="仿宋" w:hAnsi="仿宋" w:eastAsia="仿宋"/>
                <w:sz w:val="24"/>
                <w:szCs w:val="24"/>
              </w:rPr>
              <w:t>年</w:t>
            </w:r>
            <w:r>
              <w:rPr>
                <w:rFonts w:ascii="仿宋" w:hAnsi="仿宋" w:eastAsia="仿宋"/>
                <w:sz w:val="24"/>
                <w:szCs w:val="24"/>
              </w:rPr>
              <w:t>2</w:t>
            </w:r>
            <w:r>
              <w:rPr>
                <w:rFonts w:hint="eastAsia" w:ascii="仿宋" w:hAnsi="仿宋" w:eastAsia="仿宋"/>
                <w:sz w:val="24"/>
                <w:szCs w:val="24"/>
              </w:rPr>
              <w:t>月</w:t>
            </w:r>
          </w:p>
        </w:tc>
        <w:tc>
          <w:tcPr>
            <w:tcW w:w="1474" w:type="pct"/>
            <w:vMerge w:val="restart"/>
          </w:tcPr>
          <w:p w14:paraId="09926354">
            <w:pPr>
              <w:pStyle w:val="13"/>
              <w:spacing w:before="161" w:line="300" w:lineRule="exact"/>
              <w:ind w:left="119" w:right="108"/>
              <w:rPr>
                <w:rFonts w:ascii="仿宋" w:hAnsi="仿宋" w:eastAsia="仿宋"/>
                <w:sz w:val="18"/>
                <w:szCs w:val="24"/>
              </w:rPr>
            </w:pPr>
            <w:r>
              <w:rPr>
                <w:rFonts w:ascii="仿宋" w:hAnsi="仿宋" w:eastAsia="仿宋"/>
                <w:sz w:val="18"/>
                <w:szCs w:val="24"/>
              </w:rPr>
              <w:t>222</w:t>
            </w:r>
            <w:r>
              <w:rPr>
                <w:rFonts w:hint="eastAsia" w:ascii="仿宋" w:hAnsi="仿宋" w:eastAsia="仿宋"/>
                <w:sz w:val="18"/>
                <w:szCs w:val="24"/>
              </w:rPr>
              <w:t>与2</w:t>
            </w:r>
            <w:r>
              <w:rPr>
                <w:rFonts w:ascii="仿宋" w:hAnsi="仿宋" w:eastAsia="仿宋"/>
                <w:sz w:val="18"/>
                <w:szCs w:val="24"/>
              </w:rPr>
              <w:t>30</w:t>
            </w:r>
            <w:r>
              <w:rPr>
                <w:rFonts w:hint="eastAsia" w:ascii="仿宋" w:hAnsi="仿宋" w:eastAsia="仿宋"/>
                <w:sz w:val="18"/>
                <w:szCs w:val="24"/>
              </w:rPr>
              <w:t xml:space="preserve">之间4 </w:t>
            </w:r>
            <w:r>
              <w:rPr>
                <w:rFonts w:ascii="仿宋" w:hAnsi="仿宋" w:eastAsia="仿宋"/>
                <w:sz w:val="18"/>
                <w:szCs w:val="24"/>
              </w:rPr>
              <w:t xml:space="preserve">     </w:t>
            </w:r>
            <w:r>
              <w:rPr>
                <w:rFonts w:hint="eastAsia" w:ascii="仿宋" w:hAnsi="仿宋" w:eastAsia="仿宋"/>
                <w:sz w:val="18"/>
                <w:szCs w:val="24"/>
              </w:rPr>
              <w:t>红专路西路口4</w:t>
            </w:r>
          </w:p>
          <w:p w14:paraId="47325992">
            <w:pPr>
              <w:pStyle w:val="13"/>
              <w:spacing w:before="161"/>
              <w:ind w:left="121" w:right="110"/>
              <w:rPr>
                <w:rFonts w:ascii="等线" w:hAnsi="等线" w:eastAsia="等线" w:cs="Times New Roman"/>
                <w:snapToGrid w:val="0"/>
                <w:color w:val="000000"/>
                <w:w w:val="0"/>
                <w:sz w:val="0"/>
                <w:szCs w:val="0"/>
                <w:u w:color="000000"/>
                <w:shd w:val="clear" w:color="000000" w:fill="000000"/>
                <w:lang w:val="zh-CN" w:bidi="zh-CN"/>
              </w:rPr>
            </w:pPr>
            <w:r>
              <w:rPr>
                <w:rFonts w:ascii="仿宋" w:hAnsi="仿宋" w:eastAsia="仿宋"/>
                <w:sz w:val="24"/>
                <w:szCs w:val="24"/>
                <w:lang w:val="en-US" w:bidi="ar-SA"/>
              </w:rPr>
              <w:drawing>
                <wp:inline distT="0" distB="0" distL="0" distR="0">
                  <wp:extent cx="1079500" cy="809625"/>
                  <wp:effectExtent l="0" t="0" r="6350" b="9525"/>
                  <wp:docPr id="1027" name="图片 10" descr="C:\Users\综合应~1\AppData\Local\Temp\WeChat Files\7a22374a496375feef063778fb20c41.jpg"/>
                  <wp:cNvGraphicFramePr/>
                  <a:graphic xmlns:a="http://schemas.openxmlformats.org/drawingml/2006/main">
                    <a:graphicData uri="http://schemas.openxmlformats.org/drawingml/2006/picture">
                      <pic:pic xmlns:pic="http://schemas.openxmlformats.org/drawingml/2006/picture">
                        <pic:nvPicPr>
                          <pic:cNvPr id="1027" name="图片 10" descr="C:\Users\综合应~1\AppData\Local\Temp\WeChat Files\7a22374a496375feef063778fb20c41.jpg"/>
                          <pic:cNvPicPr/>
                        </pic:nvPicPr>
                        <pic:blipFill>
                          <a:blip r:embed="rId7" cstate="print"/>
                          <a:srcRect/>
                          <a:stretch>
                            <a:fillRect/>
                          </a:stretch>
                        </pic:blipFill>
                        <pic:spPr>
                          <a:xfrm>
                            <a:off x="0" y="0"/>
                            <a:ext cx="1079500" cy="809625"/>
                          </a:xfrm>
                          <a:prstGeom prst="rect">
                            <a:avLst/>
                          </a:prstGeom>
                          <a:ln>
                            <a:noFill/>
                          </a:ln>
                        </pic:spPr>
                      </pic:pic>
                    </a:graphicData>
                  </a:graphic>
                </wp:inline>
              </w:drawing>
            </w:r>
            <w:r>
              <w:rPr>
                <w:rFonts w:ascii="Times New Roman" w:hAnsi="Times New Roman" w:eastAsia="Times New Roman" w:cs="Times New Roman"/>
                <w:snapToGrid w:val="0"/>
                <w:color w:val="000000"/>
                <w:w w:val="0"/>
                <w:sz w:val="0"/>
                <w:szCs w:val="0"/>
                <w:u w:color="000000"/>
                <w:shd w:val="clear" w:color="000000" w:fill="000000"/>
                <w:lang w:val="zh-CN" w:eastAsia="zh-CN" w:bidi="zh-CN"/>
              </w:rPr>
              <w:t xml:space="preserve"> </w:t>
            </w:r>
            <w:r>
              <w:rPr>
                <w:rFonts w:ascii="仿宋" w:hAnsi="仿宋" w:eastAsia="仿宋"/>
                <w:sz w:val="24"/>
                <w:szCs w:val="24"/>
                <w:lang w:val="en-US" w:bidi="ar-SA"/>
              </w:rPr>
              <w:drawing>
                <wp:inline distT="0" distB="0" distL="0" distR="0">
                  <wp:extent cx="1079500" cy="809625"/>
                  <wp:effectExtent l="0" t="0" r="6350" b="9525"/>
                  <wp:docPr id="1028" name="图片 11" descr="C:\Users\综合应~1\AppData\Local\Temp\WeChat Files\d07679ff0d278cce65eade7da0811c4.jpg"/>
                  <wp:cNvGraphicFramePr/>
                  <a:graphic xmlns:a="http://schemas.openxmlformats.org/drawingml/2006/main">
                    <a:graphicData uri="http://schemas.openxmlformats.org/drawingml/2006/picture">
                      <pic:pic xmlns:pic="http://schemas.openxmlformats.org/drawingml/2006/picture">
                        <pic:nvPicPr>
                          <pic:cNvPr id="1028" name="图片 11" descr="C:\Users\综合应~1\AppData\Local\Temp\WeChat Files\d07679ff0d278cce65eade7da0811c4.jpg"/>
                          <pic:cNvPicPr/>
                        </pic:nvPicPr>
                        <pic:blipFill>
                          <a:blip r:embed="rId8" cstate="print"/>
                          <a:srcRect/>
                          <a:stretch>
                            <a:fillRect/>
                          </a:stretch>
                        </pic:blipFill>
                        <pic:spPr>
                          <a:xfrm>
                            <a:off x="0" y="0"/>
                            <a:ext cx="1079500" cy="809625"/>
                          </a:xfrm>
                          <a:prstGeom prst="rect">
                            <a:avLst/>
                          </a:prstGeom>
                          <a:ln>
                            <a:noFill/>
                          </a:ln>
                        </pic:spPr>
                      </pic:pic>
                    </a:graphicData>
                  </a:graphic>
                </wp:inline>
              </w:drawing>
            </w:r>
            <w:r>
              <w:rPr>
                <w:rFonts w:ascii="Times New Roman" w:hAnsi="Times New Roman" w:eastAsia="Times New Roman" w:cs="Times New Roman"/>
                <w:snapToGrid w:val="0"/>
                <w:color w:val="000000"/>
                <w:w w:val="0"/>
                <w:sz w:val="0"/>
                <w:szCs w:val="0"/>
                <w:u w:color="000000"/>
                <w:shd w:val="clear" w:color="000000" w:fill="000000"/>
                <w:lang w:val="zh-CN" w:eastAsia="zh-CN" w:bidi="zh-CN"/>
              </w:rPr>
              <w:t xml:space="preserve"> </w:t>
            </w:r>
            <w:r>
              <w:rPr>
                <w:rFonts w:hint="eastAsia" w:ascii="等线" w:hAnsi="等线" w:eastAsia="等线" w:cs="Times New Roman"/>
                <w:snapToGrid w:val="0"/>
                <w:color w:val="000000"/>
                <w:w w:val="0"/>
                <w:sz w:val="0"/>
                <w:szCs w:val="0"/>
                <w:u w:color="000000"/>
                <w:shd w:val="clear" w:color="000000" w:fill="000000"/>
                <w:lang w:val="zh-CN" w:bidi="zh-CN"/>
              </w:rPr>
              <w:t>天使路</w:t>
            </w:r>
          </w:p>
          <w:p w14:paraId="0F4074E2">
            <w:pPr>
              <w:pStyle w:val="13"/>
              <w:spacing w:before="161"/>
              <w:ind w:left="121" w:right="110"/>
              <w:rPr>
                <w:rFonts w:hint="eastAsia" w:ascii="仿宋" w:hAnsi="仿宋" w:eastAsia="仿宋"/>
                <w:sz w:val="18"/>
                <w:szCs w:val="24"/>
                <w:lang w:val="en-US" w:eastAsia="zh-CN"/>
              </w:rPr>
            </w:pPr>
            <w:r>
              <w:rPr>
                <w:rFonts w:ascii="Times New Roman" w:hAnsi="Times New Roman" w:eastAsia="Times New Roman" w:cs="Times New Roman"/>
                <w:snapToGrid w:val="0"/>
                <w:color w:val="000000"/>
                <w:w w:val="0"/>
                <w:sz w:val="0"/>
                <w:szCs w:val="0"/>
                <w:u w:color="000000"/>
                <w:shd w:val="clear" w:color="000000" w:fill="000000"/>
                <w:lang w:val="zh-CN" w:eastAsia="zh-CN" w:bidi="zh-CN"/>
              </w:rPr>
              <w:t xml:space="preserve">  </w:t>
            </w:r>
            <w:r>
              <w:rPr>
                <w:rFonts w:hint="eastAsia" w:ascii="等线" w:hAnsi="等线" w:eastAsia="等线" w:cs="Times New Roman"/>
                <w:snapToGrid w:val="0"/>
                <w:color w:val="000000"/>
                <w:w w:val="0"/>
                <w:sz w:val="0"/>
                <w:szCs w:val="0"/>
                <w:u w:color="000000"/>
                <w:shd w:val="clear" w:color="000000" w:fill="000000"/>
                <w:lang w:val="zh-CN" w:bidi="zh-CN"/>
              </w:rPr>
              <w:t>天使路</w:t>
            </w:r>
            <w:r>
              <w:rPr>
                <w:rFonts w:ascii="Times New Roman" w:hAnsi="Times New Roman" w:eastAsia="Times New Roman" w:cs="Times New Roman"/>
                <w:snapToGrid w:val="0"/>
                <w:color w:val="000000"/>
                <w:w w:val="0"/>
                <w:sz w:val="0"/>
                <w:szCs w:val="0"/>
                <w:u w:color="000000"/>
                <w:shd w:val="clear" w:color="000000" w:fill="000000"/>
                <w:lang w:val="en-US" w:bidi="ar-SA"/>
              </w:rPr>
              <w:t xml:space="preserve"> </w:t>
            </w:r>
            <w:r>
              <w:rPr>
                <w:rFonts w:hint="eastAsia" w:ascii="仿宋" w:hAnsi="仿宋" w:eastAsia="仿宋"/>
                <w:sz w:val="18"/>
                <w:szCs w:val="24"/>
              </w:rPr>
              <w:t>孺子牛路东路口</w:t>
            </w:r>
            <w:r>
              <w:rPr>
                <w:rFonts w:hint="eastAsia" w:ascii="仿宋" w:hAnsi="仿宋" w:eastAsia="仿宋"/>
                <w:sz w:val="18"/>
                <w:szCs w:val="24"/>
                <w:lang w:val="en-US" w:eastAsia="zh-CN"/>
              </w:rPr>
              <w:t>4</w:t>
            </w:r>
            <w:r>
              <w:rPr>
                <w:rFonts w:hint="eastAsia" w:ascii="仿宋" w:hAnsi="仿宋" w:eastAsia="仿宋"/>
                <w:sz w:val="18"/>
                <w:szCs w:val="24"/>
              </w:rPr>
              <w:t xml:space="preserve"> </w:t>
            </w:r>
            <w:r>
              <w:rPr>
                <w:rFonts w:ascii="仿宋" w:hAnsi="仿宋" w:eastAsia="仿宋"/>
                <w:sz w:val="18"/>
                <w:szCs w:val="24"/>
              </w:rPr>
              <w:t xml:space="preserve">  </w:t>
            </w:r>
            <w:r>
              <w:rPr>
                <w:rFonts w:hint="eastAsia" w:ascii="仿宋" w:hAnsi="仿宋" w:eastAsia="仿宋"/>
                <w:sz w:val="18"/>
                <w:szCs w:val="24"/>
              </w:rPr>
              <w:t>孺子牛西路口</w:t>
            </w:r>
            <w:r>
              <w:rPr>
                <w:rFonts w:hint="eastAsia" w:ascii="仿宋" w:hAnsi="仿宋" w:eastAsia="仿宋"/>
                <w:sz w:val="18"/>
                <w:szCs w:val="24"/>
                <w:lang w:val="en-US" w:eastAsia="zh-CN"/>
              </w:rPr>
              <w:t>5</w:t>
            </w:r>
          </w:p>
          <w:p w14:paraId="1C7A1052">
            <w:pPr>
              <w:pStyle w:val="13"/>
              <w:spacing w:before="161"/>
              <w:ind w:left="121" w:right="110"/>
              <w:rPr>
                <w:rFonts w:ascii="仿宋" w:hAnsi="仿宋" w:eastAsia="仿宋"/>
                <w:sz w:val="18"/>
                <w:szCs w:val="24"/>
              </w:rPr>
            </w:pPr>
            <w:r>
              <w:rPr>
                <w:rFonts w:ascii="Times New Roman" w:hAnsi="Times New Roman" w:eastAsia="Times New Roman" w:cs="Times New Roman"/>
                <w:snapToGrid w:val="0"/>
                <w:color w:val="000000"/>
                <w:w w:val="0"/>
                <w:sz w:val="0"/>
                <w:szCs w:val="0"/>
                <w:u w:color="000000"/>
                <w:shd w:val="clear" w:color="000000" w:fill="000000"/>
                <w:lang w:val="en-US" w:bidi="ar-SA"/>
              </w:rPr>
              <w:t xml:space="preserve"> </w:t>
            </w:r>
            <w:r>
              <w:rPr>
                <w:rFonts w:ascii="Times New Roman" w:hAnsi="Times New Roman" w:eastAsia="Times New Roman" w:cs="Times New Roman"/>
                <w:snapToGrid w:val="0"/>
                <w:color w:val="000000"/>
                <w:w w:val="0"/>
                <w:sz w:val="0"/>
                <w:szCs w:val="0"/>
                <w:u w:color="000000"/>
                <w:shd w:val="clear" w:color="000000" w:fill="000000"/>
                <w:lang w:val="en-US" w:bidi="ar-SA"/>
              </w:rPr>
              <w:drawing>
                <wp:inline distT="0" distB="0" distL="0" distR="0">
                  <wp:extent cx="1079500" cy="809625"/>
                  <wp:effectExtent l="0" t="0" r="6350" b="9525"/>
                  <wp:docPr id="1029" name="图片 14" descr="C:\Users\综合应~1\AppData\Local\Temp\WeChat Files\c98c79a68a1450999e22352459be36c.jpg"/>
                  <wp:cNvGraphicFramePr/>
                  <a:graphic xmlns:a="http://schemas.openxmlformats.org/drawingml/2006/main">
                    <a:graphicData uri="http://schemas.openxmlformats.org/drawingml/2006/picture">
                      <pic:pic xmlns:pic="http://schemas.openxmlformats.org/drawingml/2006/picture">
                        <pic:nvPicPr>
                          <pic:cNvPr id="1029" name="图片 14" descr="C:\Users\综合应~1\AppData\Local\Temp\WeChat Files\c98c79a68a1450999e22352459be36c.jpg"/>
                          <pic:cNvPicPr/>
                        </pic:nvPicPr>
                        <pic:blipFill>
                          <a:blip r:embed="rId9" cstate="print"/>
                          <a:srcRect/>
                          <a:stretch>
                            <a:fillRect/>
                          </a:stretch>
                        </pic:blipFill>
                        <pic:spPr>
                          <a:xfrm>
                            <a:off x="0" y="0"/>
                            <a:ext cx="1079500" cy="809625"/>
                          </a:xfrm>
                          <a:prstGeom prst="rect">
                            <a:avLst/>
                          </a:prstGeom>
                          <a:ln>
                            <a:noFill/>
                          </a:ln>
                        </pic:spPr>
                      </pic:pic>
                    </a:graphicData>
                  </a:graphic>
                </wp:inline>
              </w:drawing>
            </w:r>
            <w:r>
              <w:rPr>
                <w:rFonts w:ascii="仿宋" w:hAnsi="仿宋" w:eastAsia="仿宋"/>
                <w:sz w:val="24"/>
                <w:szCs w:val="24"/>
                <w:lang w:val="en-US" w:bidi="ar-SA"/>
              </w:rPr>
              <w:t xml:space="preserve"> </w:t>
            </w:r>
            <w:r>
              <w:rPr>
                <w:rFonts w:ascii="仿宋" w:hAnsi="仿宋" w:eastAsia="仿宋"/>
                <w:sz w:val="24"/>
                <w:szCs w:val="24"/>
                <w:lang w:val="en-US" w:bidi="ar-SA"/>
              </w:rPr>
              <w:drawing>
                <wp:inline distT="0" distB="0" distL="0" distR="0">
                  <wp:extent cx="1079500" cy="809625"/>
                  <wp:effectExtent l="0" t="0" r="6350" b="9525"/>
                  <wp:docPr id="1030" name="图片 16" descr="C:\Users\综合应~1\AppData\Local\Temp\WeChat Files\e2e6b401a42308a869f0a883e698d48.jpg"/>
                  <wp:cNvGraphicFramePr/>
                  <a:graphic xmlns:a="http://schemas.openxmlformats.org/drawingml/2006/main">
                    <a:graphicData uri="http://schemas.openxmlformats.org/drawingml/2006/picture">
                      <pic:pic xmlns:pic="http://schemas.openxmlformats.org/drawingml/2006/picture">
                        <pic:nvPicPr>
                          <pic:cNvPr id="1030" name="图片 16" descr="C:\Users\综合应~1\AppData\Local\Temp\WeChat Files\e2e6b401a42308a869f0a883e698d48.jpg"/>
                          <pic:cNvPicPr/>
                        </pic:nvPicPr>
                        <pic:blipFill>
                          <a:blip r:embed="rId10" cstate="print"/>
                          <a:srcRect/>
                          <a:stretch>
                            <a:fillRect/>
                          </a:stretch>
                        </pic:blipFill>
                        <pic:spPr>
                          <a:xfrm>
                            <a:off x="0" y="0"/>
                            <a:ext cx="1079500" cy="809625"/>
                          </a:xfrm>
                          <a:prstGeom prst="rect">
                            <a:avLst/>
                          </a:prstGeom>
                          <a:ln>
                            <a:noFill/>
                          </a:ln>
                        </pic:spPr>
                      </pic:pic>
                    </a:graphicData>
                  </a:graphic>
                </wp:inline>
              </w:drawing>
            </w:r>
          </w:p>
          <w:p w14:paraId="3C477FBB">
            <w:pPr>
              <w:pStyle w:val="13"/>
              <w:spacing w:before="161"/>
              <w:ind w:left="121" w:right="110"/>
              <w:rPr>
                <w:rFonts w:hint="eastAsia" w:ascii="仿宋" w:hAnsi="仿宋" w:eastAsia="仿宋"/>
                <w:sz w:val="18"/>
                <w:szCs w:val="24"/>
                <w:lang w:val="zh-CN" w:eastAsia="zh-CN"/>
              </w:rPr>
            </w:pPr>
            <w:r>
              <w:rPr>
                <w:rFonts w:hint="eastAsia" w:ascii="仿宋" w:hAnsi="仿宋" w:eastAsia="仿宋"/>
                <w:sz w:val="18"/>
                <w:szCs w:val="24"/>
                <w:lang w:val="en-US" w:eastAsia="zh-CN"/>
              </w:rPr>
              <w:t>天使路北路口5</w:t>
            </w:r>
          </w:p>
          <w:p w14:paraId="0F521DD5">
            <w:pPr>
              <w:pStyle w:val="13"/>
              <w:spacing w:before="161"/>
              <w:ind w:left="121" w:right="110"/>
              <w:rPr>
                <w:rFonts w:ascii="仿宋" w:hAnsi="仿宋" w:eastAsia="仿宋"/>
                <w:sz w:val="18"/>
                <w:szCs w:val="24"/>
              </w:rPr>
            </w:pPr>
            <w:r>
              <w:rPr>
                <w:rFonts w:ascii="Times New Roman" w:hAnsi="Times New Roman" w:eastAsia="Times New Roman" w:cs="Times New Roman"/>
                <w:snapToGrid w:val="0"/>
                <w:color w:val="000000"/>
                <w:w w:val="0"/>
                <w:sz w:val="0"/>
                <w:szCs w:val="0"/>
                <w:u w:color="000000"/>
                <w:shd w:val="clear" w:color="000000" w:fill="000000"/>
                <w:lang w:val="en-US" w:bidi="ar-SA"/>
              </w:rPr>
              <w:drawing>
                <wp:inline distT="0" distB="0" distL="0" distR="0">
                  <wp:extent cx="1798320" cy="825500"/>
                  <wp:effectExtent l="0" t="0" r="11430" b="12700"/>
                  <wp:docPr id="1032" name="图片 15" descr="C:\Users\综合应~1\AppData\Local\Temp\WeChat Files\77b56687e7713c9f1cd3c28b5f0f5b0.jpg"/>
                  <wp:cNvGraphicFramePr/>
                  <a:graphic xmlns:a="http://schemas.openxmlformats.org/drawingml/2006/main">
                    <a:graphicData uri="http://schemas.openxmlformats.org/drawingml/2006/picture">
                      <pic:pic xmlns:pic="http://schemas.openxmlformats.org/drawingml/2006/picture">
                        <pic:nvPicPr>
                          <pic:cNvPr id="1032" name="图片 15" descr="C:\Users\综合应~1\AppData\Local\Temp\WeChat Files\77b56687e7713c9f1cd3c28b5f0f5b0.jpg"/>
                          <pic:cNvPicPr/>
                        </pic:nvPicPr>
                        <pic:blipFill>
                          <a:blip r:embed="rId11" cstate="print"/>
                          <a:srcRect t="38824"/>
                          <a:stretch>
                            <a:fillRect/>
                          </a:stretch>
                        </pic:blipFill>
                        <pic:spPr>
                          <a:xfrm>
                            <a:off x="0" y="0"/>
                            <a:ext cx="1798954" cy="825500"/>
                          </a:xfrm>
                          <a:prstGeom prst="rect">
                            <a:avLst/>
                          </a:prstGeom>
                          <a:ln>
                            <a:noFill/>
                          </a:ln>
                        </pic:spPr>
                      </pic:pic>
                    </a:graphicData>
                  </a:graphic>
                </wp:inline>
              </w:drawing>
            </w:r>
          </w:p>
          <w:p w14:paraId="12ABE3F3">
            <w:pPr>
              <w:pStyle w:val="13"/>
              <w:spacing w:before="161"/>
              <w:ind w:left="121" w:right="110"/>
              <w:rPr>
                <w:rFonts w:ascii="Times New Roman" w:hAnsi="Times New Roman" w:eastAsia="Times New Roman" w:cs="Times New Roman"/>
                <w:snapToGrid w:val="0"/>
                <w:color w:val="000000"/>
                <w:w w:val="0"/>
                <w:sz w:val="0"/>
                <w:szCs w:val="0"/>
                <w:u w:color="000000"/>
                <w:shd w:val="clear" w:color="000000" w:fill="000000"/>
                <w:lang w:val="en-US" w:bidi="ar-SA"/>
              </w:rPr>
            </w:pPr>
          </w:p>
        </w:tc>
      </w:tr>
      <w:tr w14:paraId="6F876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trPr>
        <w:tc>
          <w:tcPr>
            <w:tcW w:w="592" w:type="pct"/>
            <w:vMerge w:val="continue"/>
            <w:vAlign w:val="center"/>
          </w:tcPr>
          <w:p w14:paraId="1916C6E7">
            <w:pPr>
              <w:pStyle w:val="13"/>
              <w:spacing w:before="161"/>
              <w:jc w:val="center"/>
              <w:rPr>
                <w:rFonts w:ascii="仿宋" w:hAnsi="仿宋" w:eastAsia="仿宋"/>
                <w:sz w:val="24"/>
                <w:szCs w:val="24"/>
              </w:rPr>
            </w:pPr>
          </w:p>
        </w:tc>
        <w:tc>
          <w:tcPr>
            <w:tcW w:w="1498" w:type="pct"/>
            <w:shd w:val="clear" w:color="auto" w:fill="auto"/>
            <w:vAlign w:val="center"/>
          </w:tcPr>
          <w:p w14:paraId="310CFE25">
            <w:pPr>
              <w:pStyle w:val="13"/>
              <w:spacing w:before="2" w:line="289" w:lineRule="exact"/>
              <w:rPr>
                <w:rFonts w:ascii="仿宋" w:hAnsi="仿宋" w:eastAsia="仿宋"/>
                <w:sz w:val="24"/>
                <w:szCs w:val="24"/>
              </w:rPr>
            </w:pPr>
            <w:r>
              <w:rPr>
                <w:rFonts w:ascii="仿宋" w:hAnsi="仿宋" w:eastAsia="仿宋"/>
                <w:sz w:val="24"/>
                <w:szCs w:val="24"/>
                <w:lang w:eastAsia="en-US"/>
              </w:rPr>
              <w:t>室</w:t>
            </w:r>
            <w:r>
              <w:rPr>
                <w:rFonts w:hint="eastAsia" w:ascii="仿宋" w:hAnsi="仿宋" w:eastAsia="仿宋"/>
                <w:sz w:val="24"/>
                <w:szCs w:val="24"/>
              </w:rPr>
              <w:t>外</w:t>
            </w:r>
            <w:r>
              <w:rPr>
                <w:rFonts w:ascii="仿宋" w:hAnsi="仿宋" w:eastAsia="仿宋"/>
                <w:sz w:val="24"/>
                <w:szCs w:val="24"/>
                <w:lang w:eastAsia="en-US"/>
              </w:rPr>
              <w:t>智能控制系统</w:t>
            </w:r>
          </w:p>
        </w:tc>
        <w:tc>
          <w:tcPr>
            <w:tcW w:w="384" w:type="pct"/>
            <w:shd w:val="clear" w:color="auto" w:fill="auto"/>
            <w:vAlign w:val="center"/>
          </w:tcPr>
          <w:p w14:paraId="1F7384FE">
            <w:pPr>
              <w:jc w:val="center"/>
            </w:pPr>
            <w:r>
              <w:rPr>
                <w:rFonts w:hint="eastAsia" w:ascii="仿宋" w:hAnsi="仿宋" w:eastAsia="仿宋"/>
                <w:sz w:val="24"/>
              </w:rPr>
              <w:t>套</w:t>
            </w:r>
          </w:p>
        </w:tc>
        <w:tc>
          <w:tcPr>
            <w:tcW w:w="465" w:type="pct"/>
            <w:shd w:val="clear" w:color="auto" w:fill="auto"/>
            <w:vAlign w:val="center"/>
          </w:tcPr>
          <w:p w14:paraId="3EA13C8D">
            <w:pPr>
              <w:pStyle w:val="13"/>
              <w:spacing w:before="161"/>
              <w:ind w:left="121" w:right="110"/>
              <w:jc w:val="center"/>
              <w:rPr>
                <w:rFonts w:ascii="仿宋" w:hAnsi="仿宋" w:eastAsia="仿宋"/>
                <w:sz w:val="24"/>
                <w:szCs w:val="24"/>
              </w:rPr>
            </w:pPr>
            <w:r>
              <w:rPr>
                <w:rFonts w:hint="eastAsia" w:ascii="仿宋" w:hAnsi="仿宋" w:eastAsia="仿宋"/>
                <w:sz w:val="24"/>
                <w:szCs w:val="24"/>
              </w:rPr>
              <w:t>5</w:t>
            </w:r>
          </w:p>
        </w:tc>
        <w:tc>
          <w:tcPr>
            <w:tcW w:w="587" w:type="pct"/>
            <w:vMerge w:val="continue"/>
            <w:vAlign w:val="center"/>
          </w:tcPr>
          <w:p w14:paraId="72EF3B3E">
            <w:pPr>
              <w:pStyle w:val="13"/>
              <w:spacing w:before="161"/>
              <w:ind w:left="121" w:right="110"/>
              <w:jc w:val="center"/>
              <w:rPr>
                <w:rFonts w:ascii="仿宋" w:hAnsi="仿宋" w:eastAsia="仿宋"/>
                <w:sz w:val="24"/>
                <w:szCs w:val="24"/>
              </w:rPr>
            </w:pPr>
          </w:p>
        </w:tc>
        <w:tc>
          <w:tcPr>
            <w:tcW w:w="1474" w:type="pct"/>
            <w:vMerge w:val="continue"/>
          </w:tcPr>
          <w:p w14:paraId="6E5E3B5C">
            <w:pPr>
              <w:pStyle w:val="13"/>
              <w:spacing w:before="161"/>
              <w:ind w:left="121" w:right="110"/>
              <w:jc w:val="center"/>
              <w:rPr>
                <w:rFonts w:ascii="仿宋" w:hAnsi="仿宋" w:eastAsia="仿宋"/>
                <w:sz w:val="24"/>
                <w:szCs w:val="24"/>
              </w:rPr>
            </w:pPr>
          </w:p>
        </w:tc>
      </w:tr>
      <w:tr w14:paraId="7D603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trPr>
        <w:tc>
          <w:tcPr>
            <w:tcW w:w="592" w:type="pct"/>
            <w:vMerge w:val="restart"/>
            <w:vAlign w:val="center"/>
          </w:tcPr>
          <w:p w14:paraId="01DB538A">
            <w:pPr>
              <w:pStyle w:val="13"/>
              <w:spacing w:before="161"/>
              <w:jc w:val="center"/>
              <w:rPr>
                <w:rFonts w:ascii="仿宋" w:hAnsi="仿宋" w:eastAsia="仿宋"/>
                <w:sz w:val="24"/>
                <w:szCs w:val="24"/>
              </w:rPr>
            </w:pPr>
            <w:r>
              <w:rPr>
                <w:rFonts w:hint="eastAsia" w:ascii="仿宋" w:hAnsi="仿宋" w:eastAsia="仿宋"/>
                <w:sz w:val="24"/>
                <w:szCs w:val="24"/>
              </w:rPr>
              <w:t>东区</w:t>
            </w:r>
          </w:p>
          <w:p w14:paraId="23BEA978">
            <w:pPr>
              <w:pStyle w:val="13"/>
              <w:spacing w:before="161"/>
              <w:ind w:left="121" w:right="110"/>
              <w:jc w:val="center"/>
              <w:rPr>
                <w:rFonts w:ascii="仿宋" w:hAnsi="仿宋" w:eastAsia="仿宋"/>
                <w:sz w:val="24"/>
                <w:szCs w:val="24"/>
              </w:rPr>
            </w:pPr>
            <w:r>
              <w:rPr>
                <w:rFonts w:hint="eastAsia" w:ascii="仿宋" w:hAnsi="仿宋" w:eastAsia="仿宋"/>
                <w:sz w:val="24"/>
                <w:szCs w:val="24"/>
              </w:rPr>
              <w:t>天使路南路口</w:t>
            </w:r>
          </w:p>
        </w:tc>
        <w:tc>
          <w:tcPr>
            <w:tcW w:w="1498" w:type="pct"/>
            <w:shd w:val="clear" w:color="auto" w:fill="auto"/>
            <w:vAlign w:val="center"/>
          </w:tcPr>
          <w:p w14:paraId="345B7504">
            <w:pPr>
              <w:pStyle w:val="13"/>
              <w:spacing w:before="2" w:line="289" w:lineRule="exact"/>
              <w:rPr>
                <w:rFonts w:ascii="仿宋" w:hAnsi="仿宋" w:eastAsia="仿宋"/>
                <w:sz w:val="24"/>
                <w:szCs w:val="24"/>
              </w:rPr>
            </w:pPr>
            <w:r>
              <w:rPr>
                <w:rFonts w:hint="eastAsia" w:ascii="仿宋" w:hAnsi="仿宋" w:eastAsia="仿宋"/>
                <w:sz w:val="24"/>
                <w:szCs w:val="24"/>
              </w:rPr>
              <w:t>电动</w:t>
            </w:r>
            <w:r>
              <w:rPr>
                <w:rFonts w:ascii="仿宋" w:hAnsi="仿宋" w:eastAsia="仿宋"/>
                <w:sz w:val="24"/>
                <w:szCs w:val="24"/>
              </w:rPr>
              <w:t>液压一体升降柱</w:t>
            </w:r>
          </w:p>
        </w:tc>
        <w:tc>
          <w:tcPr>
            <w:tcW w:w="384" w:type="pct"/>
            <w:shd w:val="clear" w:color="auto" w:fill="auto"/>
            <w:vAlign w:val="center"/>
          </w:tcPr>
          <w:p w14:paraId="18936318">
            <w:pPr>
              <w:jc w:val="center"/>
            </w:pPr>
            <w:r>
              <w:rPr>
                <w:rFonts w:hint="eastAsia" w:ascii="仿宋" w:hAnsi="仿宋" w:eastAsia="仿宋"/>
                <w:sz w:val="24"/>
              </w:rPr>
              <w:t>套</w:t>
            </w:r>
          </w:p>
        </w:tc>
        <w:tc>
          <w:tcPr>
            <w:tcW w:w="465" w:type="pct"/>
            <w:shd w:val="clear" w:color="auto" w:fill="auto"/>
            <w:vAlign w:val="center"/>
          </w:tcPr>
          <w:p w14:paraId="7A2D0DB3">
            <w:pPr>
              <w:pStyle w:val="13"/>
              <w:spacing w:before="161"/>
              <w:ind w:left="121" w:right="110"/>
              <w:jc w:val="center"/>
              <w:rPr>
                <w:rFonts w:ascii="仿宋" w:hAnsi="仿宋" w:eastAsia="仿宋"/>
                <w:sz w:val="24"/>
                <w:szCs w:val="24"/>
              </w:rPr>
            </w:pPr>
            <w:r>
              <w:rPr>
                <w:rFonts w:hint="eastAsia" w:ascii="仿宋" w:hAnsi="仿宋" w:eastAsia="仿宋"/>
                <w:sz w:val="24"/>
                <w:szCs w:val="24"/>
              </w:rPr>
              <w:t>6</w:t>
            </w:r>
          </w:p>
        </w:tc>
        <w:tc>
          <w:tcPr>
            <w:tcW w:w="587" w:type="pct"/>
            <w:vMerge w:val="restart"/>
            <w:vAlign w:val="center"/>
          </w:tcPr>
          <w:p w14:paraId="363A324C">
            <w:pPr>
              <w:pStyle w:val="13"/>
              <w:spacing w:before="161"/>
              <w:ind w:left="121" w:right="110"/>
              <w:jc w:val="center"/>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018</w:t>
            </w:r>
            <w:r>
              <w:rPr>
                <w:rFonts w:hint="eastAsia" w:ascii="仿宋" w:hAnsi="仿宋" w:eastAsia="仿宋"/>
                <w:sz w:val="24"/>
                <w:szCs w:val="24"/>
              </w:rPr>
              <w:t>年5月</w:t>
            </w:r>
          </w:p>
        </w:tc>
        <w:tc>
          <w:tcPr>
            <w:tcW w:w="1474" w:type="pct"/>
            <w:vMerge w:val="restart"/>
          </w:tcPr>
          <w:p w14:paraId="63FC5376">
            <w:pPr>
              <w:pStyle w:val="13"/>
              <w:spacing w:before="161"/>
              <w:ind w:left="121" w:right="110"/>
              <w:jc w:val="center"/>
              <w:rPr>
                <w:rFonts w:ascii="仿宋" w:hAnsi="仿宋" w:eastAsia="仿宋"/>
                <w:sz w:val="24"/>
                <w:szCs w:val="24"/>
              </w:rPr>
            </w:pPr>
            <w:r>
              <w:rPr>
                <w:rFonts w:ascii="仿宋" w:hAnsi="仿宋" w:eastAsia="仿宋"/>
                <w:sz w:val="18"/>
                <w:szCs w:val="24"/>
                <w:lang w:val="en-US" w:bidi="ar-SA"/>
              </w:rPr>
              <w:drawing>
                <wp:inline distT="0" distB="0" distL="0" distR="0">
                  <wp:extent cx="1079500" cy="809625"/>
                  <wp:effectExtent l="0" t="0" r="6350" b="9525"/>
                  <wp:docPr id="1031" name="图片 17" descr="C:\Users\综合应~1\AppData\Local\Temp\WeChat Files\33c9f991f84bc256621a7bae8936fba.jpg"/>
                  <wp:cNvGraphicFramePr/>
                  <a:graphic xmlns:a="http://schemas.openxmlformats.org/drawingml/2006/main">
                    <a:graphicData uri="http://schemas.openxmlformats.org/drawingml/2006/picture">
                      <pic:pic xmlns:pic="http://schemas.openxmlformats.org/drawingml/2006/picture">
                        <pic:nvPicPr>
                          <pic:cNvPr id="1031" name="图片 17" descr="C:\Users\综合应~1\AppData\Local\Temp\WeChat Files\33c9f991f84bc256621a7bae8936fba.jpg"/>
                          <pic:cNvPicPr/>
                        </pic:nvPicPr>
                        <pic:blipFill>
                          <a:blip r:embed="rId12" cstate="print"/>
                          <a:srcRect/>
                          <a:stretch>
                            <a:fillRect/>
                          </a:stretch>
                        </pic:blipFill>
                        <pic:spPr>
                          <a:xfrm>
                            <a:off x="0" y="0"/>
                            <a:ext cx="1079500" cy="809625"/>
                          </a:xfrm>
                          <a:prstGeom prst="rect">
                            <a:avLst/>
                          </a:prstGeom>
                          <a:ln>
                            <a:noFill/>
                          </a:ln>
                        </pic:spPr>
                      </pic:pic>
                    </a:graphicData>
                  </a:graphic>
                </wp:inline>
              </w:drawing>
            </w:r>
            <w:r>
              <w:rPr>
                <w:rFonts w:ascii="仿宋" w:hAnsi="仿宋" w:eastAsia="仿宋"/>
                <w:sz w:val="24"/>
                <w:szCs w:val="24"/>
              </w:rPr>
              <w:t xml:space="preserve"> </w:t>
            </w:r>
          </w:p>
        </w:tc>
      </w:tr>
      <w:tr w14:paraId="4A7D8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trPr>
        <w:tc>
          <w:tcPr>
            <w:tcW w:w="592" w:type="pct"/>
            <w:vMerge w:val="continue"/>
            <w:vAlign w:val="center"/>
          </w:tcPr>
          <w:p w14:paraId="4FC39E22">
            <w:pPr>
              <w:pStyle w:val="13"/>
              <w:spacing w:before="161"/>
              <w:jc w:val="center"/>
              <w:rPr>
                <w:rFonts w:ascii="仿宋" w:hAnsi="仿宋" w:eastAsia="仿宋"/>
                <w:sz w:val="24"/>
                <w:szCs w:val="24"/>
              </w:rPr>
            </w:pPr>
          </w:p>
        </w:tc>
        <w:tc>
          <w:tcPr>
            <w:tcW w:w="1498" w:type="pct"/>
            <w:shd w:val="clear" w:color="auto" w:fill="auto"/>
            <w:vAlign w:val="center"/>
          </w:tcPr>
          <w:p w14:paraId="39814107">
            <w:pPr>
              <w:pStyle w:val="13"/>
              <w:spacing w:before="2" w:line="289" w:lineRule="exact"/>
              <w:rPr>
                <w:rFonts w:ascii="仿宋" w:hAnsi="仿宋" w:eastAsia="仿宋"/>
                <w:sz w:val="24"/>
                <w:szCs w:val="24"/>
              </w:rPr>
            </w:pPr>
            <w:r>
              <w:rPr>
                <w:rFonts w:ascii="仿宋" w:hAnsi="仿宋" w:eastAsia="仿宋"/>
                <w:sz w:val="24"/>
                <w:szCs w:val="24"/>
                <w:lang w:eastAsia="en-US"/>
              </w:rPr>
              <w:t>室</w:t>
            </w:r>
            <w:r>
              <w:rPr>
                <w:rFonts w:hint="eastAsia" w:ascii="仿宋" w:hAnsi="仿宋" w:eastAsia="仿宋"/>
                <w:sz w:val="24"/>
                <w:szCs w:val="24"/>
              </w:rPr>
              <w:t>外</w:t>
            </w:r>
            <w:r>
              <w:rPr>
                <w:rFonts w:ascii="仿宋" w:hAnsi="仿宋" w:eastAsia="仿宋"/>
                <w:sz w:val="24"/>
                <w:szCs w:val="24"/>
                <w:lang w:eastAsia="en-US"/>
              </w:rPr>
              <w:t>智能控制系统</w:t>
            </w:r>
          </w:p>
        </w:tc>
        <w:tc>
          <w:tcPr>
            <w:tcW w:w="384" w:type="pct"/>
            <w:shd w:val="clear" w:color="auto" w:fill="auto"/>
            <w:vAlign w:val="center"/>
          </w:tcPr>
          <w:p w14:paraId="2E3D05EB">
            <w:pPr>
              <w:jc w:val="center"/>
            </w:pPr>
            <w:r>
              <w:rPr>
                <w:rFonts w:hint="eastAsia" w:ascii="仿宋" w:hAnsi="仿宋" w:eastAsia="仿宋"/>
                <w:sz w:val="24"/>
              </w:rPr>
              <w:t>套</w:t>
            </w:r>
          </w:p>
        </w:tc>
        <w:tc>
          <w:tcPr>
            <w:tcW w:w="465" w:type="pct"/>
            <w:shd w:val="clear" w:color="auto" w:fill="auto"/>
            <w:vAlign w:val="center"/>
          </w:tcPr>
          <w:p w14:paraId="11BB97FD">
            <w:pPr>
              <w:pStyle w:val="13"/>
              <w:spacing w:before="161"/>
              <w:ind w:left="121" w:right="110"/>
              <w:jc w:val="center"/>
              <w:rPr>
                <w:rFonts w:ascii="仿宋" w:hAnsi="仿宋" w:eastAsia="仿宋"/>
                <w:sz w:val="24"/>
                <w:szCs w:val="24"/>
              </w:rPr>
            </w:pPr>
            <w:r>
              <w:rPr>
                <w:rFonts w:hint="eastAsia" w:ascii="仿宋" w:hAnsi="仿宋" w:eastAsia="仿宋"/>
                <w:sz w:val="24"/>
                <w:szCs w:val="24"/>
              </w:rPr>
              <w:t>1</w:t>
            </w:r>
          </w:p>
        </w:tc>
        <w:tc>
          <w:tcPr>
            <w:tcW w:w="587" w:type="pct"/>
            <w:vMerge w:val="continue"/>
            <w:vAlign w:val="center"/>
          </w:tcPr>
          <w:p w14:paraId="42524D55">
            <w:pPr>
              <w:pStyle w:val="13"/>
              <w:spacing w:before="161"/>
              <w:ind w:left="121" w:right="110"/>
              <w:jc w:val="center"/>
              <w:rPr>
                <w:rFonts w:ascii="仿宋" w:hAnsi="仿宋" w:eastAsia="仿宋"/>
                <w:sz w:val="24"/>
                <w:szCs w:val="24"/>
              </w:rPr>
            </w:pPr>
          </w:p>
        </w:tc>
        <w:tc>
          <w:tcPr>
            <w:tcW w:w="1474" w:type="pct"/>
            <w:vMerge w:val="continue"/>
          </w:tcPr>
          <w:p w14:paraId="73598A6F">
            <w:pPr>
              <w:pStyle w:val="13"/>
              <w:spacing w:before="161"/>
              <w:ind w:left="121" w:right="110"/>
              <w:jc w:val="center"/>
              <w:rPr>
                <w:rFonts w:ascii="仿宋" w:hAnsi="仿宋" w:eastAsia="仿宋"/>
                <w:sz w:val="24"/>
                <w:szCs w:val="24"/>
              </w:rPr>
            </w:pPr>
          </w:p>
        </w:tc>
      </w:tr>
      <w:tr w14:paraId="64CA7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trPr>
        <w:tc>
          <w:tcPr>
            <w:tcW w:w="592" w:type="pct"/>
            <w:vMerge w:val="restart"/>
            <w:vAlign w:val="center"/>
          </w:tcPr>
          <w:p w14:paraId="16CAC4DB">
            <w:pPr>
              <w:pStyle w:val="13"/>
              <w:spacing w:before="161"/>
              <w:jc w:val="center"/>
              <w:rPr>
                <w:rFonts w:ascii="仿宋" w:hAnsi="仿宋" w:eastAsia="仿宋"/>
                <w:sz w:val="24"/>
                <w:szCs w:val="24"/>
              </w:rPr>
            </w:pPr>
            <w:r>
              <w:rPr>
                <w:rFonts w:hint="eastAsia" w:ascii="仿宋" w:hAnsi="仿宋" w:eastAsia="仿宋"/>
                <w:sz w:val="24"/>
                <w:szCs w:val="24"/>
              </w:rPr>
              <w:t>西区</w:t>
            </w:r>
          </w:p>
          <w:p w14:paraId="48EA0F95">
            <w:pPr>
              <w:pStyle w:val="13"/>
              <w:spacing w:before="161"/>
              <w:jc w:val="center"/>
              <w:rPr>
                <w:rFonts w:ascii="仿宋" w:hAnsi="仿宋" w:eastAsia="仿宋"/>
                <w:sz w:val="24"/>
                <w:szCs w:val="24"/>
              </w:rPr>
            </w:pPr>
            <w:r>
              <w:rPr>
                <w:rFonts w:hint="eastAsia" w:ascii="仿宋" w:hAnsi="仿宋" w:eastAsia="仿宋"/>
                <w:sz w:val="24"/>
                <w:szCs w:val="24"/>
              </w:rPr>
              <w:t>太湖路门</w:t>
            </w:r>
          </w:p>
        </w:tc>
        <w:tc>
          <w:tcPr>
            <w:tcW w:w="1498" w:type="pct"/>
            <w:shd w:val="clear" w:color="auto" w:fill="auto"/>
            <w:vAlign w:val="center"/>
          </w:tcPr>
          <w:p w14:paraId="58B7F583">
            <w:pPr>
              <w:pStyle w:val="13"/>
              <w:spacing w:before="2" w:line="289" w:lineRule="exact"/>
              <w:rPr>
                <w:rFonts w:ascii="仿宋" w:hAnsi="仿宋" w:eastAsia="仿宋"/>
                <w:sz w:val="24"/>
                <w:szCs w:val="24"/>
              </w:rPr>
            </w:pPr>
            <w:r>
              <w:rPr>
                <w:rFonts w:hint="eastAsia" w:ascii="仿宋" w:hAnsi="仿宋" w:eastAsia="仿宋"/>
                <w:sz w:val="24"/>
                <w:szCs w:val="24"/>
              </w:rPr>
              <w:t>电动</w:t>
            </w:r>
            <w:r>
              <w:rPr>
                <w:rFonts w:ascii="仿宋" w:hAnsi="仿宋" w:eastAsia="仿宋"/>
                <w:sz w:val="24"/>
                <w:szCs w:val="24"/>
              </w:rPr>
              <w:t>液压一体升降柱</w:t>
            </w:r>
          </w:p>
        </w:tc>
        <w:tc>
          <w:tcPr>
            <w:tcW w:w="384" w:type="pct"/>
            <w:shd w:val="clear" w:color="auto" w:fill="auto"/>
            <w:vAlign w:val="center"/>
          </w:tcPr>
          <w:p w14:paraId="05697AD8">
            <w:pPr>
              <w:jc w:val="center"/>
            </w:pPr>
            <w:r>
              <w:rPr>
                <w:rFonts w:hint="eastAsia" w:ascii="仿宋" w:hAnsi="仿宋" w:eastAsia="仿宋"/>
                <w:sz w:val="24"/>
              </w:rPr>
              <w:t>套</w:t>
            </w:r>
          </w:p>
        </w:tc>
        <w:tc>
          <w:tcPr>
            <w:tcW w:w="465" w:type="pct"/>
            <w:shd w:val="clear" w:color="auto" w:fill="auto"/>
            <w:vAlign w:val="center"/>
          </w:tcPr>
          <w:p w14:paraId="1681AA13">
            <w:pPr>
              <w:pStyle w:val="13"/>
              <w:spacing w:before="161"/>
              <w:ind w:left="121" w:right="110"/>
              <w:jc w:val="center"/>
              <w:rPr>
                <w:rFonts w:ascii="仿宋" w:hAnsi="仿宋" w:eastAsia="仿宋"/>
                <w:sz w:val="24"/>
                <w:szCs w:val="24"/>
              </w:rPr>
            </w:pPr>
            <w:r>
              <w:rPr>
                <w:rFonts w:hint="eastAsia" w:ascii="仿宋" w:hAnsi="仿宋" w:eastAsia="仿宋"/>
                <w:sz w:val="24"/>
                <w:szCs w:val="24"/>
              </w:rPr>
              <w:t>6</w:t>
            </w:r>
          </w:p>
        </w:tc>
        <w:tc>
          <w:tcPr>
            <w:tcW w:w="587" w:type="pct"/>
            <w:vMerge w:val="restart"/>
            <w:vAlign w:val="center"/>
          </w:tcPr>
          <w:p w14:paraId="09AC1BF1">
            <w:pPr>
              <w:pStyle w:val="13"/>
              <w:spacing w:before="161"/>
              <w:ind w:left="121" w:right="110"/>
              <w:jc w:val="center"/>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018</w:t>
            </w:r>
            <w:r>
              <w:rPr>
                <w:rFonts w:hint="eastAsia" w:ascii="仿宋" w:hAnsi="仿宋" w:eastAsia="仿宋"/>
                <w:sz w:val="24"/>
                <w:szCs w:val="24"/>
              </w:rPr>
              <w:t>年9月</w:t>
            </w:r>
          </w:p>
        </w:tc>
        <w:tc>
          <w:tcPr>
            <w:tcW w:w="1474" w:type="pct"/>
            <w:vMerge w:val="restart"/>
          </w:tcPr>
          <w:p w14:paraId="5A1C59D7">
            <w:pPr>
              <w:pStyle w:val="13"/>
              <w:spacing w:before="161"/>
              <w:ind w:left="121" w:right="110"/>
              <w:jc w:val="center"/>
              <w:rPr>
                <w:rFonts w:ascii="仿宋" w:hAnsi="仿宋" w:eastAsia="仿宋"/>
                <w:sz w:val="24"/>
                <w:szCs w:val="24"/>
              </w:rPr>
            </w:pPr>
            <w:r>
              <w:rPr>
                <w:rFonts w:ascii="仿宋" w:hAnsi="仿宋" w:eastAsia="仿宋"/>
                <w:sz w:val="24"/>
                <w:szCs w:val="24"/>
                <w:lang w:val="en-US" w:bidi="ar-SA"/>
              </w:rPr>
              <w:drawing>
                <wp:inline distT="0" distB="0" distL="0" distR="0">
                  <wp:extent cx="1798320" cy="619125"/>
                  <wp:effectExtent l="0" t="0" r="11430" b="9525"/>
                  <wp:docPr id="1033" name="图片 20" descr="C:\Users\综合应~1\AppData\Local\Temp\WeChat Files\a5703685eea6b0474e56955f45db9b5.jpg"/>
                  <wp:cNvGraphicFramePr/>
                  <a:graphic xmlns:a="http://schemas.openxmlformats.org/drawingml/2006/main">
                    <a:graphicData uri="http://schemas.openxmlformats.org/drawingml/2006/picture">
                      <pic:pic xmlns:pic="http://schemas.openxmlformats.org/drawingml/2006/picture">
                        <pic:nvPicPr>
                          <pic:cNvPr id="1033" name="图片 20" descr="C:\Users\综合应~1\AppData\Local\Temp\WeChat Files\a5703685eea6b0474e56955f45db9b5.jpg"/>
                          <pic:cNvPicPr/>
                        </pic:nvPicPr>
                        <pic:blipFill>
                          <a:blip r:embed="rId13" cstate="print"/>
                          <a:srcRect t="28222" b="25908"/>
                          <a:stretch>
                            <a:fillRect/>
                          </a:stretch>
                        </pic:blipFill>
                        <pic:spPr>
                          <a:xfrm>
                            <a:off x="0" y="0"/>
                            <a:ext cx="1798954" cy="619125"/>
                          </a:xfrm>
                          <a:prstGeom prst="rect">
                            <a:avLst/>
                          </a:prstGeom>
                          <a:ln>
                            <a:noFill/>
                          </a:ln>
                        </pic:spPr>
                      </pic:pic>
                    </a:graphicData>
                  </a:graphic>
                </wp:inline>
              </w:drawing>
            </w:r>
          </w:p>
        </w:tc>
      </w:tr>
      <w:tr w14:paraId="2C6F5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trPr>
        <w:tc>
          <w:tcPr>
            <w:tcW w:w="592" w:type="pct"/>
            <w:vMerge w:val="continue"/>
            <w:vAlign w:val="center"/>
          </w:tcPr>
          <w:p w14:paraId="375F03F8">
            <w:pPr>
              <w:pStyle w:val="13"/>
              <w:spacing w:before="161"/>
              <w:jc w:val="center"/>
              <w:rPr>
                <w:rFonts w:ascii="仿宋" w:hAnsi="仿宋" w:eastAsia="仿宋"/>
                <w:sz w:val="24"/>
                <w:szCs w:val="24"/>
              </w:rPr>
            </w:pPr>
          </w:p>
        </w:tc>
        <w:tc>
          <w:tcPr>
            <w:tcW w:w="1498" w:type="pct"/>
            <w:shd w:val="clear" w:color="auto" w:fill="auto"/>
            <w:vAlign w:val="center"/>
          </w:tcPr>
          <w:p w14:paraId="1BFE2D13">
            <w:pPr>
              <w:pStyle w:val="13"/>
              <w:spacing w:before="2" w:line="289" w:lineRule="exact"/>
              <w:rPr>
                <w:rFonts w:ascii="仿宋" w:hAnsi="仿宋" w:eastAsia="仿宋"/>
                <w:sz w:val="24"/>
                <w:szCs w:val="24"/>
              </w:rPr>
            </w:pPr>
            <w:r>
              <w:rPr>
                <w:rFonts w:ascii="仿宋" w:hAnsi="仿宋" w:eastAsia="仿宋"/>
                <w:sz w:val="24"/>
                <w:szCs w:val="24"/>
                <w:lang w:eastAsia="en-US"/>
              </w:rPr>
              <w:t>室内智能控制系统</w:t>
            </w:r>
          </w:p>
        </w:tc>
        <w:tc>
          <w:tcPr>
            <w:tcW w:w="384" w:type="pct"/>
            <w:shd w:val="clear" w:color="auto" w:fill="auto"/>
            <w:vAlign w:val="center"/>
          </w:tcPr>
          <w:p w14:paraId="29081524">
            <w:pPr>
              <w:jc w:val="center"/>
            </w:pPr>
            <w:r>
              <w:rPr>
                <w:rFonts w:hint="eastAsia" w:ascii="仿宋" w:hAnsi="仿宋" w:eastAsia="仿宋"/>
                <w:sz w:val="24"/>
              </w:rPr>
              <w:t>套</w:t>
            </w:r>
          </w:p>
        </w:tc>
        <w:tc>
          <w:tcPr>
            <w:tcW w:w="465" w:type="pct"/>
            <w:shd w:val="clear" w:color="auto" w:fill="auto"/>
            <w:vAlign w:val="center"/>
          </w:tcPr>
          <w:p w14:paraId="23E7DFB1">
            <w:pPr>
              <w:pStyle w:val="13"/>
              <w:spacing w:before="161"/>
              <w:ind w:left="121" w:right="110"/>
              <w:jc w:val="center"/>
              <w:rPr>
                <w:rFonts w:ascii="仿宋" w:hAnsi="仿宋" w:eastAsia="仿宋"/>
                <w:sz w:val="24"/>
                <w:szCs w:val="24"/>
              </w:rPr>
            </w:pPr>
            <w:r>
              <w:rPr>
                <w:rFonts w:hint="eastAsia" w:ascii="仿宋" w:hAnsi="仿宋" w:eastAsia="仿宋"/>
                <w:sz w:val="24"/>
                <w:szCs w:val="24"/>
              </w:rPr>
              <w:t>1</w:t>
            </w:r>
          </w:p>
        </w:tc>
        <w:tc>
          <w:tcPr>
            <w:tcW w:w="587" w:type="pct"/>
            <w:vMerge w:val="continue"/>
            <w:vAlign w:val="center"/>
          </w:tcPr>
          <w:p w14:paraId="6B9A016A">
            <w:pPr>
              <w:pStyle w:val="13"/>
              <w:spacing w:before="161"/>
              <w:ind w:left="121" w:right="110"/>
              <w:jc w:val="center"/>
              <w:rPr>
                <w:rFonts w:ascii="仿宋" w:hAnsi="仿宋" w:eastAsia="仿宋"/>
                <w:sz w:val="24"/>
                <w:szCs w:val="24"/>
              </w:rPr>
            </w:pPr>
          </w:p>
        </w:tc>
        <w:tc>
          <w:tcPr>
            <w:tcW w:w="1474" w:type="pct"/>
            <w:vMerge w:val="continue"/>
          </w:tcPr>
          <w:p w14:paraId="1960587A">
            <w:pPr>
              <w:pStyle w:val="13"/>
              <w:spacing w:before="161"/>
              <w:ind w:left="121" w:right="110"/>
              <w:jc w:val="center"/>
              <w:rPr>
                <w:rFonts w:ascii="仿宋" w:hAnsi="仿宋" w:eastAsia="仿宋"/>
                <w:sz w:val="24"/>
                <w:szCs w:val="24"/>
              </w:rPr>
            </w:pPr>
          </w:p>
        </w:tc>
      </w:tr>
      <w:tr w14:paraId="1D396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trPr>
        <w:tc>
          <w:tcPr>
            <w:tcW w:w="592" w:type="pct"/>
            <w:vMerge w:val="restart"/>
            <w:vAlign w:val="center"/>
          </w:tcPr>
          <w:p w14:paraId="3E92C4FC">
            <w:pPr>
              <w:pStyle w:val="13"/>
              <w:spacing w:before="161"/>
              <w:jc w:val="center"/>
              <w:rPr>
                <w:rFonts w:ascii="仿宋" w:hAnsi="仿宋" w:eastAsia="仿宋"/>
                <w:sz w:val="24"/>
                <w:szCs w:val="24"/>
              </w:rPr>
            </w:pPr>
            <w:r>
              <w:rPr>
                <w:rFonts w:hint="eastAsia" w:ascii="仿宋" w:hAnsi="仿宋" w:eastAsia="仿宋"/>
                <w:sz w:val="24"/>
                <w:szCs w:val="24"/>
              </w:rPr>
              <w:t>东区</w:t>
            </w:r>
          </w:p>
          <w:p w14:paraId="61170DDB">
            <w:pPr>
              <w:pStyle w:val="13"/>
              <w:spacing w:before="161"/>
              <w:jc w:val="center"/>
              <w:rPr>
                <w:rFonts w:ascii="仿宋" w:hAnsi="仿宋" w:eastAsia="仿宋"/>
                <w:sz w:val="24"/>
                <w:szCs w:val="24"/>
              </w:rPr>
            </w:pPr>
            <w:r>
              <w:rPr>
                <w:rFonts w:hint="eastAsia" w:ascii="仿宋" w:hAnsi="仿宋" w:eastAsia="仿宋"/>
                <w:sz w:val="24"/>
                <w:szCs w:val="24"/>
              </w:rPr>
              <w:t>太湖路门（东）</w:t>
            </w:r>
          </w:p>
        </w:tc>
        <w:tc>
          <w:tcPr>
            <w:tcW w:w="1498" w:type="pct"/>
            <w:shd w:val="clear" w:color="auto" w:fill="auto"/>
            <w:vAlign w:val="center"/>
          </w:tcPr>
          <w:p w14:paraId="49EB87E8">
            <w:pPr>
              <w:pStyle w:val="13"/>
              <w:spacing w:before="2" w:line="289" w:lineRule="exact"/>
              <w:rPr>
                <w:rFonts w:ascii="仿宋" w:hAnsi="仿宋" w:eastAsia="仿宋"/>
                <w:sz w:val="24"/>
                <w:szCs w:val="24"/>
              </w:rPr>
            </w:pPr>
            <w:r>
              <w:rPr>
                <w:rFonts w:hint="eastAsia" w:ascii="仿宋" w:hAnsi="仿宋" w:eastAsia="仿宋"/>
                <w:sz w:val="24"/>
                <w:szCs w:val="24"/>
              </w:rPr>
              <w:t>电动</w:t>
            </w:r>
            <w:r>
              <w:rPr>
                <w:rFonts w:ascii="仿宋" w:hAnsi="仿宋" w:eastAsia="仿宋"/>
                <w:sz w:val="24"/>
                <w:szCs w:val="24"/>
              </w:rPr>
              <w:t>液压一体升降柱</w:t>
            </w:r>
          </w:p>
        </w:tc>
        <w:tc>
          <w:tcPr>
            <w:tcW w:w="384" w:type="pct"/>
            <w:shd w:val="clear" w:color="auto" w:fill="auto"/>
            <w:vAlign w:val="center"/>
          </w:tcPr>
          <w:p w14:paraId="2985A220">
            <w:pPr>
              <w:pStyle w:val="13"/>
              <w:spacing w:before="161"/>
              <w:ind w:left="280" w:right="272"/>
              <w:jc w:val="center"/>
              <w:rPr>
                <w:rFonts w:ascii="仿宋" w:hAnsi="仿宋" w:eastAsia="仿宋"/>
                <w:sz w:val="24"/>
                <w:szCs w:val="24"/>
                <w:lang w:eastAsia="en-US"/>
              </w:rPr>
            </w:pPr>
            <w:r>
              <w:rPr>
                <w:rFonts w:hint="eastAsia" w:ascii="仿宋" w:hAnsi="仿宋" w:eastAsia="仿宋"/>
                <w:sz w:val="24"/>
                <w:szCs w:val="24"/>
              </w:rPr>
              <w:t>套</w:t>
            </w:r>
          </w:p>
        </w:tc>
        <w:tc>
          <w:tcPr>
            <w:tcW w:w="465" w:type="pct"/>
            <w:shd w:val="clear" w:color="auto" w:fill="auto"/>
            <w:vAlign w:val="center"/>
          </w:tcPr>
          <w:p w14:paraId="2B43A9A6">
            <w:pPr>
              <w:pStyle w:val="13"/>
              <w:spacing w:before="161"/>
              <w:ind w:left="121" w:right="110"/>
              <w:jc w:val="center"/>
              <w:rPr>
                <w:rFonts w:ascii="仿宋" w:hAnsi="仿宋" w:eastAsia="仿宋"/>
                <w:sz w:val="24"/>
                <w:szCs w:val="24"/>
              </w:rPr>
            </w:pPr>
            <w:r>
              <w:rPr>
                <w:rFonts w:ascii="仿宋" w:hAnsi="仿宋" w:eastAsia="仿宋"/>
                <w:sz w:val="24"/>
                <w:szCs w:val="24"/>
              </w:rPr>
              <w:t>7</w:t>
            </w:r>
          </w:p>
        </w:tc>
        <w:tc>
          <w:tcPr>
            <w:tcW w:w="587" w:type="pct"/>
            <w:vMerge w:val="restart"/>
            <w:vAlign w:val="center"/>
          </w:tcPr>
          <w:p w14:paraId="394C859B">
            <w:pPr>
              <w:pStyle w:val="13"/>
              <w:spacing w:before="161"/>
              <w:ind w:left="121" w:right="110"/>
              <w:jc w:val="center"/>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018</w:t>
            </w:r>
            <w:r>
              <w:rPr>
                <w:rFonts w:hint="eastAsia" w:ascii="仿宋" w:hAnsi="仿宋" w:eastAsia="仿宋"/>
                <w:sz w:val="24"/>
                <w:szCs w:val="24"/>
              </w:rPr>
              <w:t>年1</w:t>
            </w:r>
            <w:r>
              <w:rPr>
                <w:rFonts w:ascii="仿宋" w:hAnsi="仿宋" w:eastAsia="仿宋"/>
                <w:sz w:val="24"/>
                <w:szCs w:val="24"/>
              </w:rPr>
              <w:t>1</w:t>
            </w:r>
            <w:r>
              <w:rPr>
                <w:rFonts w:hint="eastAsia" w:ascii="仿宋" w:hAnsi="仿宋" w:eastAsia="仿宋"/>
                <w:sz w:val="24"/>
                <w:szCs w:val="24"/>
              </w:rPr>
              <w:t>月</w:t>
            </w:r>
          </w:p>
        </w:tc>
        <w:tc>
          <w:tcPr>
            <w:tcW w:w="1474" w:type="pct"/>
            <w:vMerge w:val="restart"/>
            <w:vAlign w:val="center"/>
          </w:tcPr>
          <w:p w14:paraId="5D19E649">
            <w:pPr>
              <w:pStyle w:val="13"/>
              <w:spacing w:before="161"/>
              <w:ind w:left="121" w:right="110"/>
              <w:jc w:val="center"/>
              <w:rPr>
                <w:rFonts w:ascii="仿宋" w:hAnsi="仿宋" w:eastAsia="仿宋"/>
                <w:sz w:val="24"/>
                <w:szCs w:val="24"/>
              </w:rPr>
            </w:pPr>
            <w:r>
              <w:rPr>
                <w:rFonts w:ascii="仿宋" w:hAnsi="仿宋" w:eastAsia="仿宋"/>
                <w:sz w:val="24"/>
                <w:szCs w:val="24"/>
                <w:lang w:val="en-US" w:bidi="ar-SA"/>
              </w:rPr>
              <w:drawing>
                <wp:inline distT="0" distB="0" distL="0" distR="0">
                  <wp:extent cx="2456815" cy="1066165"/>
                  <wp:effectExtent l="0" t="0" r="635" b="635"/>
                  <wp:docPr id="1034" name="图片 9" descr="C:\Users\综合应~1\AppData\Local\Temp\WeChat Files\ba141860e697c18d170c17c71fdbf34.jpg"/>
                  <wp:cNvGraphicFramePr/>
                  <a:graphic xmlns:a="http://schemas.openxmlformats.org/drawingml/2006/main">
                    <a:graphicData uri="http://schemas.openxmlformats.org/drawingml/2006/picture">
                      <pic:pic xmlns:pic="http://schemas.openxmlformats.org/drawingml/2006/picture">
                        <pic:nvPicPr>
                          <pic:cNvPr id="1034" name="图片 9" descr="C:\Users\综合应~1\AppData\Local\Temp\WeChat Files\ba141860e697c18d170c17c71fdbf34.jpg"/>
                          <pic:cNvPicPr/>
                        </pic:nvPicPr>
                        <pic:blipFill>
                          <a:blip r:embed="rId14" cstate="print"/>
                          <a:srcRect t="10589" b="31529"/>
                          <a:stretch>
                            <a:fillRect/>
                          </a:stretch>
                        </pic:blipFill>
                        <pic:spPr>
                          <a:xfrm>
                            <a:off x="0" y="0"/>
                            <a:ext cx="2456815" cy="1066165"/>
                          </a:xfrm>
                          <a:prstGeom prst="rect">
                            <a:avLst/>
                          </a:prstGeom>
                          <a:ln>
                            <a:noFill/>
                          </a:ln>
                        </pic:spPr>
                      </pic:pic>
                    </a:graphicData>
                  </a:graphic>
                </wp:inline>
              </w:drawing>
            </w:r>
          </w:p>
        </w:tc>
      </w:tr>
      <w:tr w14:paraId="47919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trPr>
        <w:tc>
          <w:tcPr>
            <w:tcW w:w="592" w:type="pct"/>
            <w:vMerge w:val="continue"/>
            <w:vAlign w:val="center"/>
          </w:tcPr>
          <w:p w14:paraId="02169DAA">
            <w:pPr>
              <w:pStyle w:val="13"/>
              <w:spacing w:before="161"/>
              <w:jc w:val="center"/>
              <w:rPr>
                <w:rFonts w:ascii="仿宋" w:hAnsi="仿宋" w:eastAsia="仿宋"/>
                <w:sz w:val="24"/>
                <w:szCs w:val="24"/>
              </w:rPr>
            </w:pPr>
          </w:p>
        </w:tc>
        <w:tc>
          <w:tcPr>
            <w:tcW w:w="1498" w:type="pct"/>
            <w:shd w:val="clear" w:color="auto" w:fill="auto"/>
            <w:vAlign w:val="center"/>
          </w:tcPr>
          <w:p w14:paraId="1B3DCD82">
            <w:pPr>
              <w:pStyle w:val="13"/>
              <w:spacing w:before="2" w:line="289" w:lineRule="exact"/>
              <w:rPr>
                <w:rFonts w:ascii="仿宋" w:hAnsi="仿宋" w:eastAsia="仿宋"/>
                <w:sz w:val="24"/>
                <w:szCs w:val="24"/>
              </w:rPr>
            </w:pPr>
            <w:r>
              <w:rPr>
                <w:rFonts w:ascii="仿宋" w:hAnsi="仿宋" w:eastAsia="仿宋"/>
                <w:sz w:val="24"/>
                <w:szCs w:val="24"/>
                <w:lang w:eastAsia="en-US"/>
              </w:rPr>
              <w:t>室内智能控制系统</w:t>
            </w:r>
          </w:p>
        </w:tc>
        <w:tc>
          <w:tcPr>
            <w:tcW w:w="384" w:type="pct"/>
            <w:shd w:val="clear" w:color="auto" w:fill="auto"/>
            <w:vAlign w:val="center"/>
          </w:tcPr>
          <w:p w14:paraId="559D14D0">
            <w:pPr>
              <w:pStyle w:val="13"/>
              <w:spacing w:before="161"/>
              <w:ind w:left="280" w:right="272"/>
              <w:jc w:val="center"/>
              <w:rPr>
                <w:rFonts w:ascii="仿宋" w:hAnsi="仿宋" w:eastAsia="仿宋"/>
                <w:sz w:val="24"/>
                <w:szCs w:val="24"/>
                <w:lang w:eastAsia="en-US"/>
              </w:rPr>
            </w:pPr>
            <w:r>
              <w:rPr>
                <w:rFonts w:hint="eastAsia" w:ascii="仿宋" w:hAnsi="仿宋" w:eastAsia="仿宋"/>
                <w:sz w:val="24"/>
                <w:szCs w:val="24"/>
              </w:rPr>
              <w:t>套</w:t>
            </w:r>
          </w:p>
        </w:tc>
        <w:tc>
          <w:tcPr>
            <w:tcW w:w="465" w:type="pct"/>
            <w:shd w:val="clear" w:color="auto" w:fill="auto"/>
            <w:vAlign w:val="center"/>
          </w:tcPr>
          <w:p w14:paraId="52AC78F2">
            <w:pPr>
              <w:pStyle w:val="13"/>
              <w:spacing w:before="161"/>
              <w:ind w:left="121" w:right="110"/>
              <w:jc w:val="center"/>
              <w:rPr>
                <w:rFonts w:ascii="仿宋" w:hAnsi="仿宋" w:eastAsia="仿宋"/>
                <w:sz w:val="24"/>
                <w:szCs w:val="24"/>
              </w:rPr>
            </w:pPr>
            <w:r>
              <w:rPr>
                <w:rFonts w:hint="eastAsia" w:ascii="仿宋" w:hAnsi="仿宋" w:eastAsia="仿宋"/>
                <w:sz w:val="24"/>
                <w:szCs w:val="24"/>
              </w:rPr>
              <w:t>1</w:t>
            </w:r>
          </w:p>
        </w:tc>
        <w:tc>
          <w:tcPr>
            <w:tcW w:w="587" w:type="pct"/>
            <w:vMerge w:val="continue"/>
            <w:vAlign w:val="center"/>
          </w:tcPr>
          <w:p w14:paraId="321594ED">
            <w:pPr>
              <w:pStyle w:val="13"/>
              <w:spacing w:before="161"/>
              <w:ind w:left="121" w:right="110"/>
              <w:jc w:val="center"/>
              <w:rPr>
                <w:rFonts w:ascii="仿宋" w:hAnsi="仿宋" w:eastAsia="仿宋"/>
                <w:sz w:val="24"/>
                <w:szCs w:val="24"/>
              </w:rPr>
            </w:pPr>
          </w:p>
        </w:tc>
        <w:tc>
          <w:tcPr>
            <w:tcW w:w="1474" w:type="pct"/>
            <w:vMerge w:val="continue"/>
            <w:vAlign w:val="center"/>
          </w:tcPr>
          <w:p w14:paraId="03391EE7">
            <w:pPr>
              <w:pStyle w:val="13"/>
              <w:spacing w:before="161"/>
              <w:ind w:left="121" w:right="110"/>
              <w:jc w:val="center"/>
              <w:rPr>
                <w:rFonts w:ascii="仿宋" w:hAnsi="仿宋" w:eastAsia="仿宋"/>
                <w:sz w:val="24"/>
                <w:szCs w:val="24"/>
              </w:rPr>
            </w:pPr>
          </w:p>
        </w:tc>
      </w:tr>
      <w:tr w14:paraId="6EED3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trPr>
        <w:tc>
          <w:tcPr>
            <w:tcW w:w="592" w:type="pct"/>
            <w:vMerge w:val="restart"/>
            <w:vAlign w:val="center"/>
          </w:tcPr>
          <w:p w14:paraId="3F684AB3">
            <w:pPr>
              <w:pStyle w:val="13"/>
              <w:spacing w:before="161"/>
              <w:jc w:val="center"/>
              <w:rPr>
                <w:rFonts w:ascii="仿宋" w:hAnsi="仿宋" w:eastAsia="仿宋"/>
                <w:sz w:val="24"/>
                <w:szCs w:val="24"/>
              </w:rPr>
            </w:pPr>
            <w:r>
              <w:rPr>
                <w:rFonts w:hint="eastAsia" w:ascii="仿宋" w:hAnsi="仿宋" w:eastAsia="仿宋"/>
                <w:sz w:val="24"/>
                <w:szCs w:val="24"/>
              </w:rPr>
              <w:t>中区</w:t>
            </w:r>
          </w:p>
          <w:p w14:paraId="73095ED5">
            <w:pPr>
              <w:pStyle w:val="13"/>
              <w:spacing w:before="161"/>
              <w:jc w:val="center"/>
              <w:rPr>
                <w:rFonts w:ascii="仿宋" w:hAnsi="仿宋" w:eastAsia="仿宋"/>
                <w:sz w:val="24"/>
                <w:szCs w:val="24"/>
              </w:rPr>
            </w:pPr>
            <w:r>
              <w:rPr>
                <w:rFonts w:hint="eastAsia" w:ascii="仿宋" w:hAnsi="仿宋" w:eastAsia="仿宋"/>
                <w:sz w:val="24"/>
                <w:szCs w:val="24"/>
              </w:rPr>
              <w:t>黄山路门</w:t>
            </w:r>
          </w:p>
        </w:tc>
        <w:tc>
          <w:tcPr>
            <w:tcW w:w="1498" w:type="pct"/>
            <w:shd w:val="clear" w:color="auto" w:fill="auto"/>
            <w:vAlign w:val="center"/>
          </w:tcPr>
          <w:p w14:paraId="19E1E437">
            <w:pPr>
              <w:pStyle w:val="13"/>
              <w:spacing w:before="2" w:line="289" w:lineRule="exact"/>
              <w:rPr>
                <w:rFonts w:ascii="仿宋" w:hAnsi="仿宋" w:eastAsia="仿宋"/>
                <w:sz w:val="24"/>
                <w:szCs w:val="24"/>
              </w:rPr>
            </w:pPr>
            <w:r>
              <w:rPr>
                <w:rFonts w:hint="eastAsia" w:ascii="仿宋" w:hAnsi="仿宋" w:eastAsia="仿宋"/>
                <w:sz w:val="24"/>
                <w:szCs w:val="24"/>
              </w:rPr>
              <w:t>电动</w:t>
            </w:r>
            <w:r>
              <w:rPr>
                <w:rFonts w:ascii="仿宋" w:hAnsi="仿宋" w:eastAsia="仿宋"/>
                <w:sz w:val="24"/>
                <w:szCs w:val="24"/>
              </w:rPr>
              <w:t>液压一体升降柱</w:t>
            </w:r>
          </w:p>
        </w:tc>
        <w:tc>
          <w:tcPr>
            <w:tcW w:w="384" w:type="pct"/>
            <w:shd w:val="clear" w:color="auto" w:fill="auto"/>
            <w:vAlign w:val="center"/>
          </w:tcPr>
          <w:p w14:paraId="710A6C16">
            <w:pPr>
              <w:pStyle w:val="13"/>
              <w:spacing w:before="161"/>
              <w:ind w:left="280" w:right="272"/>
              <w:jc w:val="center"/>
              <w:rPr>
                <w:rFonts w:ascii="仿宋" w:hAnsi="仿宋" w:eastAsia="仿宋"/>
                <w:sz w:val="24"/>
                <w:szCs w:val="24"/>
                <w:lang w:eastAsia="en-US"/>
              </w:rPr>
            </w:pPr>
            <w:r>
              <w:rPr>
                <w:rFonts w:hint="eastAsia" w:ascii="仿宋" w:hAnsi="仿宋" w:eastAsia="仿宋"/>
                <w:sz w:val="24"/>
                <w:szCs w:val="24"/>
              </w:rPr>
              <w:t>套</w:t>
            </w:r>
          </w:p>
        </w:tc>
        <w:tc>
          <w:tcPr>
            <w:tcW w:w="465" w:type="pct"/>
            <w:shd w:val="clear" w:color="auto" w:fill="auto"/>
            <w:vAlign w:val="center"/>
          </w:tcPr>
          <w:p w14:paraId="78C537A8">
            <w:pPr>
              <w:pStyle w:val="13"/>
              <w:spacing w:before="161"/>
              <w:ind w:left="121" w:right="110"/>
              <w:jc w:val="center"/>
              <w:rPr>
                <w:rFonts w:ascii="仿宋" w:hAnsi="仿宋" w:eastAsia="仿宋"/>
                <w:sz w:val="24"/>
                <w:szCs w:val="24"/>
              </w:rPr>
            </w:pPr>
            <w:r>
              <w:rPr>
                <w:rFonts w:hint="eastAsia" w:ascii="仿宋" w:hAnsi="仿宋" w:eastAsia="仿宋"/>
                <w:sz w:val="24"/>
                <w:szCs w:val="24"/>
              </w:rPr>
              <w:t>7</w:t>
            </w:r>
          </w:p>
        </w:tc>
        <w:tc>
          <w:tcPr>
            <w:tcW w:w="587" w:type="pct"/>
            <w:vMerge w:val="continue"/>
            <w:vAlign w:val="center"/>
          </w:tcPr>
          <w:p w14:paraId="7BE9AEF0">
            <w:pPr>
              <w:pStyle w:val="13"/>
              <w:spacing w:before="161"/>
              <w:ind w:left="121" w:right="110"/>
              <w:jc w:val="center"/>
              <w:rPr>
                <w:rFonts w:ascii="仿宋" w:hAnsi="仿宋" w:eastAsia="仿宋"/>
                <w:sz w:val="24"/>
                <w:szCs w:val="24"/>
              </w:rPr>
            </w:pPr>
          </w:p>
        </w:tc>
        <w:tc>
          <w:tcPr>
            <w:tcW w:w="1474" w:type="pct"/>
            <w:vMerge w:val="restart"/>
            <w:vAlign w:val="center"/>
          </w:tcPr>
          <w:p w14:paraId="64DF9B8F">
            <w:pPr>
              <w:pStyle w:val="13"/>
              <w:spacing w:before="161"/>
              <w:ind w:left="121" w:right="110"/>
              <w:jc w:val="center"/>
              <w:rPr>
                <w:rFonts w:ascii="仿宋" w:hAnsi="仿宋" w:eastAsia="仿宋"/>
                <w:sz w:val="24"/>
                <w:szCs w:val="24"/>
              </w:rPr>
            </w:pPr>
            <w:r>
              <w:rPr>
                <w:rFonts w:ascii="仿宋" w:hAnsi="仿宋" w:eastAsia="仿宋"/>
                <w:sz w:val="24"/>
                <w:szCs w:val="24"/>
                <w:lang w:val="en-US" w:bidi="ar-SA"/>
              </w:rPr>
              <w:drawing>
                <wp:inline distT="0" distB="0" distL="0" distR="0">
                  <wp:extent cx="1798320" cy="942975"/>
                  <wp:effectExtent l="0" t="0" r="11430" b="9525"/>
                  <wp:docPr id="1035" name="图片 18" descr="C:\Users\综合应~1\AppData\Local\Temp\WeChat Files\aacb4f4fd4cd1997b8c206f591a91f3.jpg"/>
                  <wp:cNvGraphicFramePr/>
                  <a:graphic xmlns:a="http://schemas.openxmlformats.org/drawingml/2006/main">
                    <a:graphicData uri="http://schemas.openxmlformats.org/drawingml/2006/picture">
                      <pic:pic xmlns:pic="http://schemas.openxmlformats.org/drawingml/2006/picture">
                        <pic:nvPicPr>
                          <pic:cNvPr id="1035" name="图片 18" descr="C:\Users\综合应~1\AppData\Local\Temp\WeChat Files\aacb4f4fd4cd1997b8c206f591a91f3.jpg"/>
                          <pic:cNvPicPr/>
                        </pic:nvPicPr>
                        <pic:blipFill>
                          <a:blip r:embed="rId15" cstate="print"/>
                          <a:srcRect b="30150"/>
                          <a:stretch>
                            <a:fillRect/>
                          </a:stretch>
                        </pic:blipFill>
                        <pic:spPr>
                          <a:xfrm>
                            <a:off x="0" y="0"/>
                            <a:ext cx="1798954" cy="942975"/>
                          </a:xfrm>
                          <a:prstGeom prst="rect">
                            <a:avLst/>
                          </a:prstGeom>
                          <a:ln>
                            <a:noFill/>
                          </a:ln>
                        </pic:spPr>
                      </pic:pic>
                    </a:graphicData>
                  </a:graphic>
                </wp:inline>
              </w:drawing>
            </w:r>
          </w:p>
        </w:tc>
      </w:tr>
      <w:tr w14:paraId="4B74E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trPr>
        <w:tc>
          <w:tcPr>
            <w:tcW w:w="592" w:type="pct"/>
            <w:vMerge w:val="continue"/>
            <w:vAlign w:val="center"/>
          </w:tcPr>
          <w:p w14:paraId="2D2AF2F8">
            <w:pPr>
              <w:pStyle w:val="13"/>
              <w:spacing w:before="161"/>
              <w:jc w:val="center"/>
              <w:rPr>
                <w:rFonts w:ascii="仿宋" w:hAnsi="仿宋" w:eastAsia="仿宋"/>
                <w:sz w:val="24"/>
                <w:szCs w:val="24"/>
              </w:rPr>
            </w:pPr>
          </w:p>
        </w:tc>
        <w:tc>
          <w:tcPr>
            <w:tcW w:w="1498" w:type="pct"/>
            <w:shd w:val="clear" w:color="auto" w:fill="auto"/>
            <w:vAlign w:val="center"/>
          </w:tcPr>
          <w:p w14:paraId="02372E75">
            <w:pPr>
              <w:pStyle w:val="13"/>
              <w:spacing w:before="2" w:line="289" w:lineRule="exact"/>
              <w:rPr>
                <w:rFonts w:ascii="仿宋" w:hAnsi="仿宋" w:eastAsia="仿宋"/>
                <w:sz w:val="24"/>
                <w:szCs w:val="24"/>
              </w:rPr>
            </w:pPr>
            <w:r>
              <w:rPr>
                <w:rFonts w:ascii="仿宋" w:hAnsi="仿宋" w:eastAsia="仿宋"/>
                <w:sz w:val="24"/>
                <w:szCs w:val="24"/>
                <w:lang w:eastAsia="en-US"/>
              </w:rPr>
              <w:t>室内智能控制系统</w:t>
            </w:r>
          </w:p>
        </w:tc>
        <w:tc>
          <w:tcPr>
            <w:tcW w:w="384" w:type="pct"/>
            <w:shd w:val="clear" w:color="auto" w:fill="auto"/>
            <w:vAlign w:val="center"/>
          </w:tcPr>
          <w:p w14:paraId="369EC302">
            <w:pPr>
              <w:pStyle w:val="13"/>
              <w:spacing w:before="161"/>
              <w:ind w:left="280" w:right="272"/>
              <w:jc w:val="center"/>
              <w:rPr>
                <w:rFonts w:ascii="仿宋" w:hAnsi="仿宋" w:eastAsia="仿宋"/>
                <w:sz w:val="24"/>
                <w:szCs w:val="24"/>
                <w:lang w:eastAsia="en-US"/>
              </w:rPr>
            </w:pPr>
            <w:r>
              <w:rPr>
                <w:rFonts w:hint="eastAsia" w:ascii="仿宋" w:hAnsi="仿宋" w:eastAsia="仿宋"/>
                <w:sz w:val="24"/>
                <w:szCs w:val="24"/>
              </w:rPr>
              <w:t>套</w:t>
            </w:r>
          </w:p>
        </w:tc>
        <w:tc>
          <w:tcPr>
            <w:tcW w:w="465" w:type="pct"/>
            <w:shd w:val="clear" w:color="auto" w:fill="auto"/>
            <w:vAlign w:val="center"/>
          </w:tcPr>
          <w:p w14:paraId="5DA99942">
            <w:pPr>
              <w:pStyle w:val="13"/>
              <w:spacing w:before="161"/>
              <w:ind w:left="121" w:right="110"/>
              <w:jc w:val="center"/>
              <w:rPr>
                <w:rFonts w:ascii="仿宋" w:hAnsi="仿宋" w:eastAsia="仿宋"/>
                <w:sz w:val="24"/>
                <w:szCs w:val="24"/>
              </w:rPr>
            </w:pPr>
            <w:r>
              <w:rPr>
                <w:rFonts w:hint="eastAsia" w:ascii="仿宋" w:hAnsi="仿宋" w:eastAsia="仿宋"/>
                <w:sz w:val="24"/>
                <w:szCs w:val="24"/>
              </w:rPr>
              <w:t>1</w:t>
            </w:r>
          </w:p>
        </w:tc>
        <w:tc>
          <w:tcPr>
            <w:tcW w:w="587" w:type="pct"/>
            <w:vMerge w:val="continue"/>
            <w:vAlign w:val="center"/>
          </w:tcPr>
          <w:p w14:paraId="67FB8293">
            <w:pPr>
              <w:pStyle w:val="13"/>
              <w:spacing w:before="161"/>
              <w:ind w:left="121" w:right="110"/>
              <w:jc w:val="center"/>
              <w:rPr>
                <w:rFonts w:ascii="仿宋" w:hAnsi="仿宋" w:eastAsia="仿宋"/>
                <w:sz w:val="24"/>
                <w:szCs w:val="24"/>
              </w:rPr>
            </w:pPr>
          </w:p>
        </w:tc>
        <w:tc>
          <w:tcPr>
            <w:tcW w:w="1474" w:type="pct"/>
            <w:vMerge w:val="continue"/>
            <w:vAlign w:val="center"/>
          </w:tcPr>
          <w:p w14:paraId="70351663">
            <w:pPr>
              <w:pStyle w:val="13"/>
              <w:spacing w:before="161"/>
              <w:ind w:left="121" w:right="110"/>
              <w:jc w:val="center"/>
              <w:rPr>
                <w:rFonts w:ascii="仿宋" w:hAnsi="仿宋" w:eastAsia="仿宋"/>
                <w:sz w:val="24"/>
                <w:szCs w:val="24"/>
              </w:rPr>
            </w:pPr>
          </w:p>
        </w:tc>
      </w:tr>
      <w:tr w14:paraId="4C0DB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trPr>
        <w:tc>
          <w:tcPr>
            <w:tcW w:w="592" w:type="pct"/>
            <w:vMerge w:val="restart"/>
            <w:vAlign w:val="center"/>
          </w:tcPr>
          <w:p w14:paraId="6488CC4A">
            <w:pPr>
              <w:pStyle w:val="13"/>
              <w:spacing w:before="161"/>
              <w:jc w:val="center"/>
              <w:rPr>
                <w:rFonts w:ascii="仿宋" w:hAnsi="仿宋" w:eastAsia="仿宋"/>
                <w:sz w:val="24"/>
                <w:szCs w:val="24"/>
              </w:rPr>
            </w:pPr>
            <w:r>
              <w:rPr>
                <w:rFonts w:hint="eastAsia" w:ascii="仿宋" w:hAnsi="仿宋" w:eastAsia="仿宋"/>
                <w:sz w:val="24"/>
                <w:szCs w:val="24"/>
              </w:rPr>
              <w:t>南区</w:t>
            </w:r>
          </w:p>
          <w:p w14:paraId="7746AC1F">
            <w:pPr>
              <w:pStyle w:val="13"/>
              <w:spacing w:before="161"/>
              <w:jc w:val="center"/>
              <w:rPr>
                <w:rFonts w:ascii="仿宋" w:hAnsi="仿宋" w:eastAsia="仿宋"/>
                <w:sz w:val="24"/>
                <w:szCs w:val="24"/>
              </w:rPr>
            </w:pPr>
            <w:r>
              <w:rPr>
                <w:rFonts w:hint="eastAsia" w:ascii="仿宋" w:hAnsi="仿宋" w:eastAsia="仿宋"/>
                <w:sz w:val="24"/>
                <w:szCs w:val="24"/>
              </w:rPr>
              <w:t>图书馆门前</w:t>
            </w:r>
          </w:p>
        </w:tc>
        <w:tc>
          <w:tcPr>
            <w:tcW w:w="1498" w:type="pct"/>
            <w:shd w:val="clear" w:color="auto" w:fill="auto"/>
            <w:vAlign w:val="center"/>
          </w:tcPr>
          <w:p w14:paraId="2626E918">
            <w:pPr>
              <w:pStyle w:val="13"/>
              <w:spacing w:before="2" w:line="289" w:lineRule="exact"/>
              <w:rPr>
                <w:rFonts w:ascii="仿宋" w:hAnsi="仿宋" w:eastAsia="仿宋"/>
                <w:sz w:val="24"/>
                <w:szCs w:val="24"/>
              </w:rPr>
            </w:pPr>
            <w:r>
              <w:rPr>
                <w:rFonts w:hint="eastAsia" w:ascii="仿宋" w:hAnsi="仿宋" w:eastAsia="仿宋"/>
                <w:sz w:val="24"/>
                <w:szCs w:val="24"/>
              </w:rPr>
              <w:t>电动</w:t>
            </w:r>
            <w:r>
              <w:rPr>
                <w:rFonts w:ascii="仿宋" w:hAnsi="仿宋" w:eastAsia="仿宋"/>
                <w:sz w:val="24"/>
                <w:szCs w:val="24"/>
              </w:rPr>
              <w:t>液压一体升降柱</w:t>
            </w:r>
          </w:p>
        </w:tc>
        <w:tc>
          <w:tcPr>
            <w:tcW w:w="384" w:type="pct"/>
            <w:shd w:val="clear" w:color="auto" w:fill="auto"/>
            <w:vAlign w:val="center"/>
          </w:tcPr>
          <w:p w14:paraId="1A791537">
            <w:pPr>
              <w:pStyle w:val="13"/>
              <w:spacing w:before="161"/>
              <w:ind w:left="280" w:right="272"/>
              <w:jc w:val="center"/>
              <w:rPr>
                <w:rFonts w:ascii="仿宋" w:hAnsi="仿宋" w:eastAsia="仿宋"/>
                <w:sz w:val="24"/>
                <w:szCs w:val="24"/>
                <w:lang w:eastAsia="en-US"/>
              </w:rPr>
            </w:pPr>
            <w:r>
              <w:rPr>
                <w:rFonts w:hint="eastAsia" w:ascii="仿宋" w:hAnsi="仿宋" w:eastAsia="仿宋"/>
                <w:sz w:val="24"/>
                <w:szCs w:val="24"/>
              </w:rPr>
              <w:t>套</w:t>
            </w:r>
          </w:p>
        </w:tc>
        <w:tc>
          <w:tcPr>
            <w:tcW w:w="465" w:type="pct"/>
            <w:shd w:val="clear" w:color="auto" w:fill="auto"/>
            <w:vAlign w:val="center"/>
          </w:tcPr>
          <w:p w14:paraId="0E6C1116">
            <w:pPr>
              <w:pStyle w:val="13"/>
              <w:spacing w:before="161"/>
              <w:ind w:left="121" w:right="110"/>
              <w:jc w:val="center"/>
              <w:rPr>
                <w:rFonts w:ascii="仿宋" w:hAnsi="仿宋" w:eastAsia="仿宋"/>
                <w:sz w:val="24"/>
                <w:szCs w:val="24"/>
              </w:rPr>
            </w:pPr>
            <w:r>
              <w:rPr>
                <w:rFonts w:hint="eastAsia" w:ascii="仿宋" w:hAnsi="仿宋" w:eastAsia="仿宋"/>
                <w:sz w:val="24"/>
                <w:szCs w:val="24"/>
              </w:rPr>
              <w:t>8</w:t>
            </w:r>
          </w:p>
        </w:tc>
        <w:tc>
          <w:tcPr>
            <w:tcW w:w="587" w:type="pct"/>
            <w:vMerge w:val="restart"/>
            <w:vAlign w:val="center"/>
          </w:tcPr>
          <w:p w14:paraId="08181987">
            <w:pPr>
              <w:pStyle w:val="13"/>
              <w:spacing w:before="161"/>
              <w:ind w:left="121" w:right="110"/>
              <w:jc w:val="center"/>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020</w:t>
            </w:r>
            <w:r>
              <w:rPr>
                <w:rFonts w:hint="eastAsia" w:ascii="仿宋" w:hAnsi="仿宋" w:eastAsia="仿宋"/>
                <w:sz w:val="24"/>
                <w:szCs w:val="24"/>
              </w:rPr>
              <w:t>年6月</w:t>
            </w:r>
          </w:p>
        </w:tc>
        <w:tc>
          <w:tcPr>
            <w:tcW w:w="1474" w:type="pct"/>
            <w:vMerge w:val="restart"/>
            <w:vAlign w:val="center"/>
          </w:tcPr>
          <w:p w14:paraId="5EAD3622">
            <w:pPr>
              <w:pStyle w:val="13"/>
              <w:spacing w:before="161"/>
              <w:ind w:left="121" w:right="110"/>
              <w:jc w:val="center"/>
              <w:rPr>
                <w:lang w:val="en-US" w:bidi="ar-SA"/>
              </w:rPr>
            </w:pPr>
            <w:r>
              <w:rPr>
                <w:lang w:val="en-US" w:bidi="ar-SA"/>
              </w:rPr>
              <w:drawing>
                <wp:inline distT="0" distB="0" distL="0" distR="0">
                  <wp:extent cx="1798955" cy="1348105"/>
                  <wp:effectExtent l="0" t="0" r="10795" b="4445"/>
                  <wp:docPr id="1036" name="图片 19" descr="C:\Users\杜振谭\AppData\Local\Microsoft\Windows\INetCache\Content.Word\328bf6ffab0c938b2a31b941b653667.jpg"/>
                  <wp:cNvGraphicFramePr/>
                  <a:graphic xmlns:a="http://schemas.openxmlformats.org/drawingml/2006/main">
                    <a:graphicData uri="http://schemas.openxmlformats.org/drawingml/2006/picture">
                      <pic:pic xmlns:pic="http://schemas.openxmlformats.org/drawingml/2006/picture">
                        <pic:nvPicPr>
                          <pic:cNvPr id="1036" name="图片 19" descr="C:\Users\杜振谭\AppData\Local\Microsoft\Windows\INetCache\Content.Word\328bf6ffab0c938b2a31b941b653667.jpg"/>
                          <pic:cNvPicPr/>
                        </pic:nvPicPr>
                        <pic:blipFill>
                          <a:blip r:embed="rId16" cstate="print"/>
                          <a:srcRect/>
                          <a:stretch>
                            <a:fillRect/>
                          </a:stretch>
                        </pic:blipFill>
                        <pic:spPr>
                          <a:xfrm>
                            <a:off x="0" y="0"/>
                            <a:ext cx="1799589" cy="1348105"/>
                          </a:xfrm>
                          <a:prstGeom prst="rect">
                            <a:avLst/>
                          </a:prstGeom>
                          <a:ln>
                            <a:noFill/>
                          </a:ln>
                        </pic:spPr>
                      </pic:pic>
                    </a:graphicData>
                  </a:graphic>
                </wp:inline>
              </w:drawing>
            </w:r>
          </w:p>
          <w:p w14:paraId="7974CB83">
            <w:pPr>
              <w:pStyle w:val="13"/>
              <w:spacing w:before="161"/>
              <w:ind w:left="121" w:right="110"/>
              <w:jc w:val="center"/>
              <w:rPr>
                <w:lang w:val="en-US" w:bidi="ar-SA"/>
              </w:rPr>
            </w:pPr>
            <w:r>
              <w:drawing>
                <wp:inline distT="0" distB="0" distL="0" distR="0">
                  <wp:extent cx="1832610" cy="1374140"/>
                  <wp:effectExtent l="0" t="0" r="15240" b="16510"/>
                  <wp:docPr id="1037" name="Image1"/>
                  <wp:cNvGraphicFramePr/>
                  <a:graphic xmlns:a="http://schemas.openxmlformats.org/drawingml/2006/main">
                    <a:graphicData uri="http://schemas.openxmlformats.org/drawingml/2006/picture">
                      <pic:pic xmlns:pic="http://schemas.openxmlformats.org/drawingml/2006/picture">
                        <pic:nvPicPr>
                          <pic:cNvPr id="1037" name="Image1"/>
                          <pic:cNvPicPr/>
                        </pic:nvPicPr>
                        <pic:blipFill>
                          <a:blip r:embed="rId17" cstate="print"/>
                          <a:srcRect/>
                          <a:stretch>
                            <a:fillRect/>
                          </a:stretch>
                        </pic:blipFill>
                        <pic:spPr>
                          <a:xfrm>
                            <a:off x="0" y="0"/>
                            <a:ext cx="1833066" cy="1374262"/>
                          </a:xfrm>
                          <a:prstGeom prst="rect">
                            <a:avLst/>
                          </a:prstGeom>
                        </pic:spPr>
                      </pic:pic>
                    </a:graphicData>
                  </a:graphic>
                </wp:inline>
              </w:drawing>
            </w:r>
          </w:p>
          <w:p w14:paraId="1458F069">
            <w:pPr>
              <w:pStyle w:val="13"/>
              <w:spacing w:before="161"/>
              <w:ind w:left="121" w:right="110"/>
              <w:jc w:val="center"/>
              <w:rPr>
                <w:rFonts w:ascii="仿宋" w:hAnsi="仿宋" w:eastAsia="仿宋"/>
                <w:sz w:val="24"/>
                <w:szCs w:val="24"/>
              </w:rPr>
            </w:pPr>
          </w:p>
        </w:tc>
      </w:tr>
      <w:tr w14:paraId="14E80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trPr>
        <w:tc>
          <w:tcPr>
            <w:tcW w:w="592" w:type="pct"/>
            <w:vMerge w:val="continue"/>
            <w:vAlign w:val="center"/>
          </w:tcPr>
          <w:p w14:paraId="1AADE838">
            <w:pPr>
              <w:pStyle w:val="13"/>
              <w:spacing w:before="161"/>
              <w:jc w:val="center"/>
              <w:rPr>
                <w:rFonts w:ascii="仿宋" w:hAnsi="仿宋" w:eastAsia="仿宋"/>
                <w:sz w:val="24"/>
                <w:szCs w:val="24"/>
              </w:rPr>
            </w:pPr>
          </w:p>
        </w:tc>
        <w:tc>
          <w:tcPr>
            <w:tcW w:w="1498" w:type="pct"/>
            <w:shd w:val="clear" w:color="auto" w:fill="auto"/>
            <w:vAlign w:val="center"/>
          </w:tcPr>
          <w:p w14:paraId="66B3018A">
            <w:pPr>
              <w:pStyle w:val="13"/>
              <w:spacing w:before="2" w:line="289" w:lineRule="exact"/>
              <w:rPr>
                <w:rFonts w:ascii="仿宋" w:hAnsi="仿宋" w:eastAsia="仿宋"/>
                <w:sz w:val="24"/>
                <w:szCs w:val="24"/>
              </w:rPr>
            </w:pPr>
            <w:r>
              <w:rPr>
                <w:rFonts w:ascii="仿宋" w:hAnsi="仿宋" w:eastAsia="仿宋"/>
                <w:sz w:val="24"/>
                <w:szCs w:val="24"/>
                <w:lang w:eastAsia="en-US"/>
              </w:rPr>
              <w:t>室内智能控制系统</w:t>
            </w:r>
          </w:p>
        </w:tc>
        <w:tc>
          <w:tcPr>
            <w:tcW w:w="384" w:type="pct"/>
            <w:shd w:val="clear" w:color="auto" w:fill="auto"/>
            <w:vAlign w:val="center"/>
          </w:tcPr>
          <w:p w14:paraId="3003B4F7">
            <w:pPr>
              <w:pStyle w:val="13"/>
              <w:spacing w:before="161"/>
              <w:ind w:left="280" w:right="272"/>
              <w:jc w:val="center"/>
              <w:rPr>
                <w:rFonts w:ascii="仿宋" w:hAnsi="仿宋" w:eastAsia="仿宋"/>
                <w:sz w:val="24"/>
                <w:szCs w:val="24"/>
                <w:lang w:eastAsia="en-US"/>
              </w:rPr>
            </w:pPr>
            <w:r>
              <w:rPr>
                <w:rFonts w:hint="eastAsia" w:ascii="仿宋" w:hAnsi="仿宋" w:eastAsia="仿宋"/>
                <w:sz w:val="24"/>
                <w:szCs w:val="24"/>
              </w:rPr>
              <w:t>套</w:t>
            </w:r>
          </w:p>
        </w:tc>
        <w:tc>
          <w:tcPr>
            <w:tcW w:w="465" w:type="pct"/>
            <w:shd w:val="clear" w:color="auto" w:fill="auto"/>
            <w:vAlign w:val="center"/>
          </w:tcPr>
          <w:p w14:paraId="47397870">
            <w:pPr>
              <w:pStyle w:val="13"/>
              <w:spacing w:before="161"/>
              <w:ind w:left="121" w:right="110"/>
              <w:jc w:val="center"/>
              <w:rPr>
                <w:rFonts w:ascii="仿宋" w:hAnsi="仿宋" w:eastAsia="仿宋"/>
                <w:sz w:val="24"/>
                <w:szCs w:val="24"/>
              </w:rPr>
            </w:pPr>
            <w:r>
              <w:rPr>
                <w:rFonts w:hint="eastAsia" w:ascii="仿宋" w:hAnsi="仿宋" w:eastAsia="仿宋"/>
                <w:sz w:val="24"/>
                <w:szCs w:val="24"/>
              </w:rPr>
              <w:t>2</w:t>
            </w:r>
          </w:p>
        </w:tc>
        <w:tc>
          <w:tcPr>
            <w:tcW w:w="587" w:type="pct"/>
            <w:vMerge w:val="continue"/>
            <w:vAlign w:val="center"/>
          </w:tcPr>
          <w:p w14:paraId="0CF5160B">
            <w:pPr>
              <w:pStyle w:val="13"/>
              <w:spacing w:before="161"/>
              <w:ind w:left="121" w:right="110"/>
              <w:jc w:val="center"/>
              <w:rPr>
                <w:rFonts w:ascii="仿宋" w:hAnsi="仿宋" w:eastAsia="仿宋"/>
                <w:sz w:val="24"/>
                <w:szCs w:val="24"/>
              </w:rPr>
            </w:pPr>
          </w:p>
        </w:tc>
        <w:tc>
          <w:tcPr>
            <w:tcW w:w="1474" w:type="pct"/>
            <w:vMerge w:val="continue"/>
          </w:tcPr>
          <w:p w14:paraId="20727A08">
            <w:pPr>
              <w:pStyle w:val="13"/>
              <w:spacing w:before="161"/>
              <w:ind w:left="121" w:right="110"/>
              <w:jc w:val="center"/>
              <w:rPr>
                <w:rFonts w:ascii="仿宋" w:hAnsi="仿宋" w:eastAsia="仿宋"/>
                <w:sz w:val="24"/>
                <w:szCs w:val="24"/>
              </w:rPr>
            </w:pPr>
          </w:p>
        </w:tc>
      </w:tr>
      <w:tr w14:paraId="47371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0" w:hRule="atLeast"/>
        </w:trPr>
        <w:tc>
          <w:tcPr>
            <w:tcW w:w="592" w:type="pct"/>
            <w:vMerge w:val="restart"/>
            <w:vAlign w:val="center"/>
          </w:tcPr>
          <w:p w14:paraId="6C8FCA5A">
            <w:pPr>
              <w:pStyle w:val="13"/>
              <w:spacing w:before="161"/>
              <w:jc w:val="center"/>
              <w:rPr>
                <w:rFonts w:ascii="仿宋" w:hAnsi="仿宋" w:eastAsia="仿宋"/>
                <w:sz w:val="24"/>
                <w:szCs w:val="24"/>
                <w:lang w:val="en-US"/>
              </w:rPr>
            </w:pPr>
            <w:r>
              <w:rPr>
                <w:rFonts w:ascii="仿宋" w:hAnsi="仿宋" w:eastAsia="仿宋"/>
                <w:sz w:val="24"/>
                <w:szCs w:val="24"/>
                <w:lang w:val="en-US"/>
              </w:rPr>
              <w:t>中区西门</w:t>
            </w:r>
          </w:p>
          <w:p w14:paraId="5CFBE03C">
            <w:pPr>
              <w:pStyle w:val="13"/>
              <w:spacing w:before="161"/>
              <w:jc w:val="center"/>
              <w:rPr>
                <w:rFonts w:hint="eastAsia" w:ascii="仿宋" w:hAnsi="仿宋" w:eastAsia="仿宋"/>
                <w:sz w:val="24"/>
                <w:szCs w:val="24"/>
                <w:lang w:val="en-US" w:eastAsia="zh-CN"/>
              </w:rPr>
            </w:pPr>
            <w:r>
              <w:rPr>
                <w:rFonts w:hint="eastAsia" w:ascii="仿宋" w:hAnsi="仿宋" w:eastAsia="仿宋"/>
                <w:b/>
                <w:bCs/>
                <w:sz w:val="24"/>
                <w:szCs w:val="24"/>
                <w:highlight w:val="yellow"/>
                <w:lang w:val="en-US" w:eastAsia="zh-CN"/>
              </w:rPr>
              <w:t>（质保期内，不纳入此次维保范围）</w:t>
            </w:r>
          </w:p>
        </w:tc>
        <w:tc>
          <w:tcPr>
            <w:tcW w:w="1498" w:type="pct"/>
            <w:shd w:val="clear" w:color="auto" w:fill="auto"/>
            <w:vAlign w:val="center"/>
          </w:tcPr>
          <w:p w14:paraId="11CE611C">
            <w:pPr>
              <w:pStyle w:val="13"/>
              <w:spacing w:before="2" w:line="289" w:lineRule="exact"/>
              <w:rPr>
                <w:rFonts w:ascii="仿宋" w:hAnsi="仿宋" w:eastAsia="仿宋"/>
                <w:sz w:val="24"/>
                <w:szCs w:val="24"/>
                <w:lang w:eastAsia="en-US"/>
              </w:rPr>
            </w:pPr>
            <w:r>
              <w:rPr>
                <w:rFonts w:ascii="仿宋" w:hAnsi="仿宋" w:eastAsia="仿宋"/>
                <w:sz w:val="24"/>
                <w:szCs w:val="24"/>
                <w:lang w:eastAsia="en-US"/>
              </w:rPr>
              <w:t>室内智能控制系统</w:t>
            </w:r>
          </w:p>
        </w:tc>
        <w:tc>
          <w:tcPr>
            <w:tcW w:w="384" w:type="pct"/>
            <w:shd w:val="clear" w:color="auto" w:fill="auto"/>
            <w:vAlign w:val="center"/>
          </w:tcPr>
          <w:p w14:paraId="29DF9418">
            <w:pPr>
              <w:pStyle w:val="13"/>
              <w:spacing w:before="161"/>
              <w:ind w:left="280" w:right="272"/>
              <w:jc w:val="center"/>
              <w:rPr>
                <w:rFonts w:hint="eastAsia" w:ascii="仿宋" w:hAnsi="仿宋" w:eastAsia="仿宋"/>
                <w:sz w:val="24"/>
                <w:szCs w:val="24"/>
              </w:rPr>
            </w:pPr>
            <w:r>
              <w:rPr>
                <w:rFonts w:hint="default" w:ascii="仿宋" w:hAnsi="仿宋" w:eastAsia="仿宋"/>
                <w:sz w:val="24"/>
                <w:szCs w:val="24"/>
                <w:lang w:val="en-US"/>
              </w:rPr>
              <w:t>套</w:t>
            </w:r>
          </w:p>
        </w:tc>
        <w:tc>
          <w:tcPr>
            <w:tcW w:w="465" w:type="pct"/>
            <w:shd w:val="clear" w:color="auto" w:fill="auto"/>
            <w:vAlign w:val="center"/>
          </w:tcPr>
          <w:p w14:paraId="310BC564">
            <w:pPr>
              <w:pStyle w:val="13"/>
              <w:spacing w:before="161"/>
              <w:ind w:left="121" w:right="110"/>
              <w:jc w:val="center"/>
              <w:rPr>
                <w:rFonts w:hint="eastAsia" w:ascii="仿宋" w:hAnsi="仿宋" w:eastAsia="仿宋"/>
                <w:sz w:val="24"/>
                <w:szCs w:val="24"/>
              </w:rPr>
            </w:pPr>
            <w:r>
              <w:rPr>
                <w:rFonts w:hint="default" w:ascii="仿宋" w:hAnsi="仿宋" w:eastAsia="仿宋"/>
                <w:sz w:val="24"/>
                <w:szCs w:val="24"/>
                <w:lang w:val="en-US"/>
              </w:rPr>
              <w:t>1</w:t>
            </w:r>
          </w:p>
        </w:tc>
        <w:tc>
          <w:tcPr>
            <w:tcW w:w="587" w:type="pct"/>
            <w:vAlign w:val="center"/>
          </w:tcPr>
          <w:p w14:paraId="7C761438">
            <w:pPr>
              <w:pStyle w:val="13"/>
              <w:spacing w:before="161"/>
              <w:ind w:left="121" w:right="110"/>
              <w:jc w:val="center"/>
              <w:rPr>
                <w:rFonts w:hint="default" w:ascii="仿宋" w:hAnsi="仿宋" w:eastAsia="仿宋"/>
                <w:sz w:val="24"/>
                <w:szCs w:val="24"/>
                <w:lang w:val="en-US" w:eastAsia="zh-CN"/>
              </w:rPr>
            </w:pPr>
            <w:r>
              <w:rPr>
                <w:rFonts w:ascii="仿宋" w:hAnsi="仿宋" w:eastAsia="仿宋"/>
                <w:sz w:val="24"/>
                <w:szCs w:val="24"/>
                <w:lang w:val="en-US"/>
              </w:rPr>
              <w:t>2025年</w:t>
            </w:r>
            <w:r>
              <w:rPr>
                <w:rFonts w:hint="eastAsia" w:ascii="仿宋" w:hAnsi="仿宋" w:eastAsia="仿宋"/>
                <w:sz w:val="24"/>
                <w:szCs w:val="24"/>
                <w:lang w:val="en-US" w:eastAsia="zh-CN"/>
              </w:rPr>
              <w:t>2月</w:t>
            </w:r>
          </w:p>
        </w:tc>
        <w:tc>
          <w:tcPr>
            <w:tcW w:w="1474" w:type="pct"/>
            <w:vMerge w:val="restart"/>
          </w:tcPr>
          <w:p w14:paraId="181B430A">
            <w:pPr>
              <w:pStyle w:val="13"/>
              <w:spacing w:before="161"/>
              <w:ind w:left="121" w:right="110"/>
              <w:jc w:val="center"/>
              <w:rPr>
                <w:rFonts w:ascii="仿宋" w:hAnsi="仿宋" w:eastAsia="仿宋"/>
                <w:sz w:val="24"/>
                <w:szCs w:val="24"/>
              </w:rPr>
            </w:pPr>
            <w:r>
              <w:drawing>
                <wp:inline distT="0" distB="0" distL="114300" distR="114300">
                  <wp:extent cx="2053590" cy="1539875"/>
                  <wp:effectExtent l="0" t="0" r="3810" b="3175"/>
                  <wp:docPr id="1038" name="Image1"/>
                  <wp:cNvGraphicFramePr/>
                  <a:graphic xmlns:a="http://schemas.openxmlformats.org/drawingml/2006/main">
                    <a:graphicData uri="http://schemas.openxmlformats.org/drawingml/2006/picture">
                      <pic:pic xmlns:pic="http://schemas.openxmlformats.org/drawingml/2006/picture">
                        <pic:nvPicPr>
                          <pic:cNvPr id="1038" name="Image1"/>
                          <pic:cNvPicPr/>
                        </pic:nvPicPr>
                        <pic:blipFill>
                          <a:blip r:embed="rId18" cstate="print"/>
                          <a:srcRect/>
                          <a:stretch>
                            <a:fillRect/>
                          </a:stretch>
                        </pic:blipFill>
                        <pic:spPr>
                          <a:xfrm>
                            <a:off x="0" y="0"/>
                            <a:ext cx="2054148" cy="1540008"/>
                          </a:xfrm>
                          <a:prstGeom prst="rect">
                            <a:avLst/>
                          </a:prstGeom>
                        </pic:spPr>
                      </pic:pic>
                    </a:graphicData>
                  </a:graphic>
                </wp:inline>
              </w:drawing>
            </w:r>
          </w:p>
        </w:tc>
      </w:tr>
      <w:tr w14:paraId="1186D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trPr>
        <w:tc>
          <w:tcPr>
            <w:tcW w:w="592" w:type="pct"/>
            <w:vMerge w:val="continue"/>
            <w:vAlign w:val="center"/>
          </w:tcPr>
          <w:p w14:paraId="79F06326">
            <w:pPr>
              <w:pStyle w:val="13"/>
              <w:spacing w:before="161"/>
              <w:jc w:val="center"/>
              <w:rPr>
                <w:rFonts w:ascii="仿宋" w:hAnsi="仿宋" w:eastAsia="仿宋"/>
                <w:sz w:val="24"/>
                <w:szCs w:val="24"/>
                <w:lang w:val="en-US"/>
              </w:rPr>
            </w:pPr>
          </w:p>
        </w:tc>
        <w:tc>
          <w:tcPr>
            <w:tcW w:w="1498" w:type="pct"/>
            <w:shd w:val="clear" w:color="auto" w:fill="auto"/>
            <w:vAlign w:val="center"/>
          </w:tcPr>
          <w:p w14:paraId="5464313D">
            <w:pPr>
              <w:pStyle w:val="13"/>
              <w:spacing w:before="2" w:line="289" w:lineRule="exact"/>
              <w:rPr>
                <w:rFonts w:ascii="仿宋" w:hAnsi="仿宋" w:eastAsia="仿宋"/>
                <w:sz w:val="24"/>
                <w:szCs w:val="24"/>
                <w:lang w:eastAsia="en-US"/>
              </w:rPr>
            </w:pPr>
            <w:r>
              <w:rPr>
                <w:rFonts w:ascii="仿宋" w:hAnsi="仿宋" w:eastAsia="仿宋"/>
                <w:sz w:val="24"/>
                <w:szCs w:val="24"/>
                <w:lang w:eastAsia="en-US"/>
              </w:rPr>
              <w:t>电动液压一体升降柱</w:t>
            </w:r>
          </w:p>
        </w:tc>
        <w:tc>
          <w:tcPr>
            <w:tcW w:w="384" w:type="pct"/>
            <w:shd w:val="clear" w:color="auto" w:fill="auto"/>
            <w:vAlign w:val="center"/>
          </w:tcPr>
          <w:p w14:paraId="64DB352D">
            <w:pPr>
              <w:pStyle w:val="13"/>
              <w:spacing w:before="161"/>
              <w:ind w:left="280" w:right="272"/>
              <w:jc w:val="center"/>
              <w:rPr>
                <w:rFonts w:hint="default" w:ascii="仿宋" w:hAnsi="仿宋" w:eastAsia="仿宋"/>
                <w:sz w:val="24"/>
                <w:szCs w:val="24"/>
                <w:lang w:val="en-US"/>
              </w:rPr>
            </w:pPr>
            <w:r>
              <w:rPr>
                <w:rFonts w:hint="default" w:ascii="仿宋" w:hAnsi="仿宋" w:eastAsia="仿宋"/>
                <w:sz w:val="24"/>
                <w:szCs w:val="24"/>
                <w:lang w:val="en-US"/>
              </w:rPr>
              <w:t>套</w:t>
            </w:r>
          </w:p>
        </w:tc>
        <w:tc>
          <w:tcPr>
            <w:tcW w:w="465" w:type="pct"/>
            <w:shd w:val="clear" w:color="auto" w:fill="auto"/>
            <w:vAlign w:val="center"/>
          </w:tcPr>
          <w:p w14:paraId="091B6CA1">
            <w:pPr>
              <w:pStyle w:val="13"/>
              <w:spacing w:before="161"/>
              <w:ind w:left="121" w:right="110"/>
              <w:jc w:val="center"/>
              <w:rPr>
                <w:rFonts w:hint="default" w:ascii="仿宋" w:hAnsi="仿宋" w:eastAsia="仿宋"/>
                <w:sz w:val="24"/>
                <w:szCs w:val="24"/>
                <w:lang w:val="en-US"/>
              </w:rPr>
            </w:pPr>
            <w:r>
              <w:rPr>
                <w:rFonts w:hint="default" w:ascii="仿宋" w:hAnsi="仿宋" w:eastAsia="仿宋"/>
                <w:sz w:val="24"/>
                <w:szCs w:val="24"/>
                <w:lang w:val="en-US"/>
              </w:rPr>
              <w:t>5</w:t>
            </w:r>
          </w:p>
        </w:tc>
        <w:tc>
          <w:tcPr>
            <w:tcW w:w="587" w:type="pct"/>
            <w:vAlign w:val="center"/>
          </w:tcPr>
          <w:p w14:paraId="66067A55">
            <w:pPr>
              <w:pStyle w:val="13"/>
              <w:spacing w:before="161"/>
              <w:ind w:left="121" w:right="110"/>
              <w:jc w:val="center"/>
              <w:rPr>
                <w:rFonts w:hint="default" w:ascii="仿宋" w:hAnsi="仿宋" w:eastAsia="仿宋"/>
                <w:sz w:val="24"/>
                <w:szCs w:val="24"/>
                <w:lang w:val="en-US" w:eastAsia="zh-CN"/>
              </w:rPr>
            </w:pPr>
            <w:r>
              <w:rPr>
                <w:rFonts w:ascii="仿宋" w:hAnsi="仿宋" w:eastAsia="仿宋"/>
                <w:sz w:val="24"/>
                <w:szCs w:val="24"/>
                <w:lang w:val="en-US"/>
              </w:rPr>
              <w:t>2025年</w:t>
            </w:r>
            <w:r>
              <w:rPr>
                <w:rFonts w:hint="eastAsia" w:ascii="仿宋" w:hAnsi="仿宋" w:eastAsia="仿宋"/>
                <w:sz w:val="24"/>
                <w:szCs w:val="24"/>
                <w:lang w:val="en-US" w:eastAsia="zh-CN"/>
              </w:rPr>
              <w:t>2月</w:t>
            </w:r>
          </w:p>
        </w:tc>
        <w:tc>
          <w:tcPr>
            <w:tcW w:w="1474" w:type="pct"/>
            <w:vMerge w:val="continue"/>
          </w:tcPr>
          <w:p w14:paraId="1E179EEF">
            <w:pPr>
              <w:pStyle w:val="13"/>
              <w:spacing w:before="161"/>
              <w:ind w:left="121" w:right="110"/>
              <w:jc w:val="center"/>
              <w:rPr>
                <w:rFonts w:ascii="仿宋" w:hAnsi="仿宋" w:eastAsia="仿宋"/>
                <w:sz w:val="24"/>
                <w:szCs w:val="24"/>
              </w:rPr>
            </w:pPr>
          </w:p>
        </w:tc>
      </w:tr>
    </w:tbl>
    <w:p w14:paraId="766F12B0"/>
    <w:tbl>
      <w:tblPr>
        <w:tblStyle w:val="9"/>
        <w:tblpPr w:leftFromText="180" w:rightFromText="180" w:vertAnchor="page" w:horzAnchor="page" w:tblpX="1196" w:tblpY="1398"/>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757"/>
        <w:gridCol w:w="4232"/>
        <w:gridCol w:w="1261"/>
        <w:gridCol w:w="1261"/>
        <w:gridCol w:w="2663"/>
      </w:tblGrid>
      <w:tr w14:paraId="14E260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2" w:hRule="atLeast"/>
        </w:trPr>
        <w:tc>
          <w:tcPr>
            <w:tcW w:w="5000" w:type="pct"/>
            <w:gridSpan w:val="5"/>
            <w:tcBorders>
              <w:top w:val="nil"/>
              <w:left w:val="nil"/>
              <w:bottom w:val="nil"/>
              <w:right w:val="nil"/>
            </w:tcBorders>
            <w:shd w:val="clear" w:color="auto" w:fill="auto"/>
            <w:noWrap/>
            <w:vAlign w:val="center"/>
          </w:tcPr>
          <w:p w14:paraId="55C4E955">
            <w:pPr>
              <w:jc w:val="center"/>
              <w:rPr>
                <w:rFonts w:hint="eastAsia"/>
                <w:lang w:val="en-US" w:eastAsia="zh-CN"/>
              </w:rPr>
            </w:pPr>
            <w:r>
              <w:rPr>
                <w:rFonts w:hint="eastAsia"/>
                <w:lang w:val="en-US" w:eastAsia="zh-CN"/>
              </w:rPr>
              <w:t>高新校区电动液压升降桩统计</w:t>
            </w:r>
          </w:p>
          <w:p w14:paraId="481683B3">
            <w:pPr>
              <w:jc w:val="center"/>
              <w:rPr>
                <w:rFonts w:hint="default" w:ascii="仿宋" w:hAnsi="仿宋" w:eastAsia="仿宋" w:cs="仿宋"/>
                <w:i w:val="0"/>
                <w:iCs w:val="0"/>
                <w:color w:val="000000"/>
                <w:kern w:val="0"/>
                <w:sz w:val="36"/>
                <w:szCs w:val="36"/>
                <w:u w:val="none"/>
                <w:lang w:val="en-US" w:eastAsia="zh-CN" w:bidi="ar"/>
              </w:rPr>
            </w:pPr>
            <w:r>
              <w:rPr>
                <w:rFonts w:hint="eastAsia"/>
                <w:lang w:val="en-US" w:eastAsia="zh-CN"/>
              </w:rPr>
              <w:t>总计6套控制系统，27套升降桩</w:t>
            </w:r>
          </w:p>
        </w:tc>
      </w:tr>
      <w:tr w14:paraId="1AC8E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3" w:hRule="atLeast"/>
        </w:trPr>
        <w:tc>
          <w:tcPr>
            <w:tcW w:w="16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2C5BB">
            <w:pPr>
              <w:keepNext w:val="0"/>
              <w:keepLines w:val="0"/>
              <w:widowControl/>
              <w:suppressLineNumbers w:val="0"/>
              <w:jc w:val="center"/>
              <w:textAlignment w:val="center"/>
              <w:rPr>
                <w:rFonts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安装位置</w:t>
            </w: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E167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设备名称</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0C70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单位</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10B4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数量</w:t>
            </w:r>
          </w:p>
        </w:tc>
        <w:tc>
          <w:tcPr>
            <w:tcW w:w="9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062E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安装时间</w:t>
            </w:r>
          </w:p>
        </w:tc>
      </w:tr>
      <w:tr w14:paraId="2FF343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4" w:hRule="atLeast"/>
        </w:trPr>
        <w:tc>
          <w:tcPr>
            <w:tcW w:w="167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0D04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高新校区复兴路南门</w:t>
            </w: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B1F7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电动液压一体升降桩</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E174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0FA0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93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8203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2021年7月</w:t>
            </w:r>
          </w:p>
        </w:tc>
      </w:tr>
      <w:tr w14:paraId="1DD973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6" w:hRule="atLeast"/>
        </w:trPr>
        <w:tc>
          <w:tcPr>
            <w:tcW w:w="167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8CE4E">
            <w:pPr>
              <w:jc w:val="center"/>
              <w:rPr>
                <w:rFonts w:hint="eastAsia" w:ascii="仿宋" w:hAnsi="仿宋" w:eastAsia="仿宋" w:cs="仿宋"/>
                <w:i w:val="0"/>
                <w:iCs w:val="0"/>
                <w:color w:val="000000"/>
                <w:sz w:val="22"/>
                <w:szCs w:val="22"/>
                <w:u w:val="none"/>
              </w:rPr>
            </w:pP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603D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室外智能控制系统</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2A0F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4486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3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A37E0">
            <w:pPr>
              <w:jc w:val="center"/>
              <w:rPr>
                <w:rFonts w:hint="eastAsia" w:ascii="仿宋" w:hAnsi="仿宋" w:eastAsia="仿宋" w:cs="仿宋"/>
                <w:i w:val="0"/>
                <w:iCs w:val="0"/>
                <w:color w:val="000000"/>
                <w:sz w:val="22"/>
                <w:szCs w:val="22"/>
                <w:u w:val="none"/>
              </w:rPr>
            </w:pPr>
          </w:p>
        </w:tc>
      </w:tr>
      <w:tr w14:paraId="64AB2A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4" w:hRule="atLeast"/>
        </w:trPr>
        <w:tc>
          <w:tcPr>
            <w:tcW w:w="167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EEE1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1号宿舍东南角</w:t>
            </w: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9BF5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电动液压一体升降桩</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C26C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1599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93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B0E2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2021年7月</w:t>
            </w:r>
          </w:p>
        </w:tc>
      </w:tr>
      <w:tr w14:paraId="0EEA10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8" w:hRule="atLeast"/>
        </w:trPr>
        <w:tc>
          <w:tcPr>
            <w:tcW w:w="167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DBA03">
            <w:pPr>
              <w:jc w:val="center"/>
              <w:rPr>
                <w:rFonts w:hint="eastAsia" w:ascii="仿宋" w:hAnsi="仿宋" w:eastAsia="仿宋" w:cs="仿宋"/>
                <w:i w:val="0"/>
                <w:iCs w:val="0"/>
                <w:color w:val="000000"/>
                <w:sz w:val="22"/>
                <w:szCs w:val="22"/>
                <w:u w:val="none"/>
              </w:rPr>
            </w:pP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2604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室外智能控制系统</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9942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A167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3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A97C0">
            <w:pPr>
              <w:jc w:val="center"/>
              <w:rPr>
                <w:rFonts w:hint="eastAsia" w:ascii="仿宋" w:hAnsi="仿宋" w:eastAsia="仿宋" w:cs="仿宋"/>
                <w:i w:val="0"/>
                <w:iCs w:val="0"/>
                <w:color w:val="000000"/>
                <w:sz w:val="22"/>
                <w:szCs w:val="22"/>
                <w:u w:val="none"/>
              </w:rPr>
            </w:pPr>
          </w:p>
        </w:tc>
      </w:tr>
      <w:tr w14:paraId="5AFCA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8" w:hRule="atLeast"/>
        </w:trPr>
        <w:tc>
          <w:tcPr>
            <w:tcW w:w="167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40FB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2号宿舍西侧</w:t>
            </w: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D87E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电动液压一体升降桩</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6ABC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F784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93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820A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2021年7月</w:t>
            </w:r>
          </w:p>
        </w:tc>
      </w:tr>
      <w:tr w14:paraId="523976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8" w:hRule="atLeast"/>
        </w:trPr>
        <w:tc>
          <w:tcPr>
            <w:tcW w:w="167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6C644">
            <w:pPr>
              <w:jc w:val="center"/>
              <w:rPr>
                <w:rFonts w:hint="eastAsia" w:ascii="仿宋" w:hAnsi="仿宋" w:eastAsia="仿宋" w:cs="仿宋"/>
                <w:i w:val="0"/>
                <w:iCs w:val="0"/>
                <w:color w:val="000000"/>
                <w:sz w:val="22"/>
                <w:szCs w:val="22"/>
                <w:u w:val="none"/>
              </w:rPr>
            </w:pP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0302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室外智能控制系统</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CB78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2A1C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3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804E3">
            <w:pPr>
              <w:jc w:val="center"/>
              <w:rPr>
                <w:rFonts w:hint="eastAsia" w:ascii="仿宋" w:hAnsi="仿宋" w:eastAsia="仿宋" w:cs="仿宋"/>
                <w:i w:val="0"/>
                <w:iCs w:val="0"/>
                <w:color w:val="000000"/>
                <w:sz w:val="22"/>
                <w:szCs w:val="22"/>
                <w:u w:val="none"/>
              </w:rPr>
            </w:pPr>
          </w:p>
        </w:tc>
      </w:tr>
      <w:tr w14:paraId="349618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1" w:hRule="atLeast"/>
        </w:trPr>
        <w:tc>
          <w:tcPr>
            <w:tcW w:w="167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688A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8号宿舍东侧</w:t>
            </w: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EB05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电动液压一体升降桩</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72D8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F24B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93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E235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2021年7月</w:t>
            </w:r>
          </w:p>
        </w:tc>
      </w:tr>
      <w:tr w14:paraId="0771C9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0" w:hRule="atLeast"/>
        </w:trPr>
        <w:tc>
          <w:tcPr>
            <w:tcW w:w="167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81924">
            <w:pPr>
              <w:jc w:val="center"/>
              <w:rPr>
                <w:rFonts w:hint="eastAsia" w:ascii="仿宋" w:hAnsi="仿宋" w:eastAsia="仿宋" w:cs="仿宋"/>
                <w:i w:val="0"/>
                <w:iCs w:val="0"/>
                <w:color w:val="000000"/>
                <w:sz w:val="22"/>
                <w:szCs w:val="22"/>
                <w:u w:val="none"/>
              </w:rPr>
            </w:pP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0335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室外智能控制系统</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2B80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5077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3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DEB4C">
            <w:pPr>
              <w:jc w:val="center"/>
              <w:rPr>
                <w:rFonts w:hint="eastAsia" w:ascii="仿宋" w:hAnsi="仿宋" w:eastAsia="仿宋" w:cs="仿宋"/>
                <w:i w:val="0"/>
                <w:iCs w:val="0"/>
                <w:color w:val="000000"/>
                <w:sz w:val="22"/>
                <w:szCs w:val="22"/>
                <w:u w:val="none"/>
              </w:rPr>
            </w:pPr>
          </w:p>
        </w:tc>
      </w:tr>
      <w:tr w14:paraId="6067FB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8" w:hRule="atLeast"/>
        </w:trPr>
        <w:tc>
          <w:tcPr>
            <w:tcW w:w="167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220B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石莲南路西门</w:t>
            </w: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A131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电动液压一体升降桩</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35A8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77FA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93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D304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2021年7月</w:t>
            </w:r>
          </w:p>
        </w:tc>
      </w:tr>
      <w:tr w14:paraId="200F2D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4" w:hRule="atLeast"/>
        </w:trPr>
        <w:tc>
          <w:tcPr>
            <w:tcW w:w="167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EBB1A">
            <w:pPr>
              <w:jc w:val="center"/>
              <w:rPr>
                <w:rFonts w:hint="eastAsia" w:ascii="仿宋" w:hAnsi="仿宋" w:eastAsia="仿宋" w:cs="仿宋"/>
                <w:i w:val="0"/>
                <w:iCs w:val="0"/>
                <w:color w:val="000000"/>
                <w:sz w:val="22"/>
                <w:szCs w:val="22"/>
                <w:u w:val="none"/>
              </w:rPr>
            </w:pP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05FC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室外智能控制系统</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2A36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8101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3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23F55">
            <w:pPr>
              <w:jc w:val="center"/>
              <w:rPr>
                <w:rFonts w:hint="eastAsia" w:ascii="仿宋" w:hAnsi="仿宋" w:eastAsia="仿宋" w:cs="仿宋"/>
                <w:i w:val="0"/>
                <w:iCs w:val="0"/>
                <w:color w:val="000000"/>
                <w:sz w:val="22"/>
                <w:szCs w:val="22"/>
                <w:u w:val="none"/>
              </w:rPr>
            </w:pPr>
          </w:p>
        </w:tc>
      </w:tr>
      <w:tr w14:paraId="6EEE94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8" w:hRule="atLeast"/>
        </w:trPr>
        <w:tc>
          <w:tcPr>
            <w:tcW w:w="167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D289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创新大道东门</w:t>
            </w: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B9CB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电动液压一体升降桩</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012F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D4A9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93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56DF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2022年7月</w:t>
            </w:r>
          </w:p>
        </w:tc>
      </w:tr>
      <w:tr w14:paraId="09C32D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6" w:hRule="atLeast"/>
        </w:trPr>
        <w:tc>
          <w:tcPr>
            <w:tcW w:w="167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688C8">
            <w:pPr>
              <w:jc w:val="center"/>
              <w:rPr>
                <w:rFonts w:hint="eastAsia" w:ascii="仿宋" w:hAnsi="仿宋" w:eastAsia="仿宋" w:cs="仿宋"/>
                <w:i w:val="0"/>
                <w:iCs w:val="0"/>
                <w:color w:val="000000"/>
                <w:sz w:val="22"/>
                <w:szCs w:val="22"/>
                <w:u w:val="none"/>
              </w:rPr>
            </w:pPr>
          </w:p>
        </w:tc>
        <w:tc>
          <w:tcPr>
            <w:tcW w:w="14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0E6F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室外智能控制系统</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F78F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4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D7EF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3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1BAA2">
            <w:pPr>
              <w:jc w:val="center"/>
              <w:rPr>
                <w:rFonts w:hint="eastAsia" w:ascii="仿宋" w:hAnsi="仿宋" w:eastAsia="仿宋" w:cs="仿宋"/>
                <w:i w:val="0"/>
                <w:iCs w:val="0"/>
                <w:color w:val="000000"/>
                <w:sz w:val="22"/>
                <w:szCs w:val="22"/>
                <w:u w:val="none"/>
              </w:rPr>
            </w:pPr>
          </w:p>
        </w:tc>
      </w:tr>
    </w:tbl>
    <w:p w14:paraId="4F73E707"/>
    <w:p w14:paraId="2BC1DCBB"/>
    <w:sectPr>
      <w:pgSz w:w="16838" w:h="11906" w:orient="landscape"/>
      <w:pgMar w:top="709" w:right="1440" w:bottom="1418"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Cambria Math">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855D64"/>
    <w:multiLevelType w:val="multilevel"/>
    <w:tmpl w:val="3D855D6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20ECE65"/>
    <w:multiLevelType w:val="singleLevel"/>
    <w:tmpl w:val="520ECE65"/>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2"/>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FkZWYxNzFkYTc1ZmE2ZmQ4NmVhZGQ1ZDI2ODczZDIifQ=="/>
  </w:docVars>
  <w:rsids>
    <w:rsidRoot w:val="00564745"/>
    <w:rsid w:val="0007526E"/>
    <w:rsid w:val="00075624"/>
    <w:rsid w:val="000B60C4"/>
    <w:rsid w:val="00105084"/>
    <w:rsid w:val="00115DE1"/>
    <w:rsid w:val="00157472"/>
    <w:rsid w:val="0016648A"/>
    <w:rsid w:val="001755DE"/>
    <w:rsid w:val="00176EA4"/>
    <w:rsid w:val="001B3369"/>
    <w:rsid w:val="001B6C46"/>
    <w:rsid w:val="001E1610"/>
    <w:rsid w:val="001E1DA6"/>
    <w:rsid w:val="00202B03"/>
    <w:rsid w:val="0029617F"/>
    <w:rsid w:val="00321258"/>
    <w:rsid w:val="00354FAF"/>
    <w:rsid w:val="00374B69"/>
    <w:rsid w:val="00396039"/>
    <w:rsid w:val="003D14A9"/>
    <w:rsid w:val="003E7B9B"/>
    <w:rsid w:val="003F3700"/>
    <w:rsid w:val="00415EE2"/>
    <w:rsid w:val="00443868"/>
    <w:rsid w:val="004A52D0"/>
    <w:rsid w:val="004A79CE"/>
    <w:rsid w:val="004B1D52"/>
    <w:rsid w:val="004B214E"/>
    <w:rsid w:val="004F30A3"/>
    <w:rsid w:val="0051562C"/>
    <w:rsid w:val="005406DB"/>
    <w:rsid w:val="005460BF"/>
    <w:rsid w:val="00554C1C"/>
    <w:rsid w:val="00564745"/>
    <w:rsid w:val="00591738"/>
    <w:rsid w:val="005B5522"/>
    <w:rsid w:val="005C59DF"/>
    <w:rsid w:val="0063088A"/>
    <w:rsid w:val="00657891"/>
    <w:rsid w:val="00671E59"/>
    <w:rsid w:val="006A5F31"/>
    <w:rsid w:val="006C7926"/>
    <w:rsid w:val="00703E41"/>
    <w:rsid w:val="00714005"/>
    <w:rsid w:val="0071566E"/>
    <w:rsid w:val="00777D4D"/>
    <w:rsid w:val="0078099A"/>
    <w:rsid w:val="007C7E16"/>
    <w:rsid w:val="007E1DCB"/>
    <w:rsid w:val="00800ECD"/>
    <w:rsid w:val="008023DB"/>
    <w:rsid w:val="008564B4"/>
    <w:rsid w:val="00883421"/>
    <w:rsid w:val="00886C21"/>
    <w:rsid w:val="008B7828"/>
    <w:rsid w:val="00915A9B"/>
    <w:rsid w:val="00973328"/>
    <w:rsid w:val="009762EC"/>
    <w:rsid w:val="00982D64"/>
    <w:rsid w:val="009A4CA7"/>
    <w:rsid w:val="009C665D"/>
    <w:rsid w:val="009D59F8"/>
    <w:rsid w:val="009E3595"/>
    <w:rsid w:val="009F3CFE"/>
    <w:rsid w:val="00A00F73"/>
    <w:rsid w:val="00A024C7"/>
    <w:rsid w:val="00A106B8"/>
    <w:rsid w:val="00A36C74"/>
    <w:rsid w:val="00A41E81"/>
    <w:rsid w:val="00A4489A"/>
    <w:rsid w:val="00A61645"/>
    <w:rsid w:val="00AA5804"/>
    <w:rsid w:val="00AB5519"/>
    <w:rsid w:val="00AE0D2D"/>
    <w:rsid w:val="00B02404"/>
    <w:rsid w:val="00B2796C"/>
    <w:rsid w:val="00B33F62"/>
    <w:rsid w:val="00B63B5C"/>
    <w:rsid w:val="00B80844"/>
    <w:rsid w:val="00B87F26"/>
    <w:rsid w:val="00B91A55"/>
    <w:rsid w:val="00B95532"/>
    <w:rsid w:val="00BC43A5"/>
    <w:rsid w:val="00BD0737"/>
    <w:rsid w:val="00C16B45"/>
    <w:rsid w:val="00C31571"/>
    <w:rsid w:val="00C56423"/>
    <w:rsid w:val="00C70033"/>
    <w:rsid w:val="00C71A22"/>
    <w:rsid w:val="00CB124D"/>
    <w:rsid w:val="00CD3BF6"/>
    <w:rsid w:val="00CF4B1D"/>
    <w:rsid w:val="00D05A5A"/>
    <w:rsid w:val="00D20672"/>
    <w:rsid w:val="00D30E33"/>
    <w:rsid w:val="00D44F37"/>
    <w:rsid w:val="00D555D4"/>
    <w:rsid w:val="00D66C5B"/>
    <w:rsid w:val="00D67288"/>
    <w:rsid w:val="00DC142D"/>
    <w:rsid w:val="00DD4535"/>
    <w:rsid w:val="00DE1550"/>
    <w:rsid w:val="00E0594F"/>
    <w:rsid w:val="00E075E5"/>
    <w:rsid w:val="00E07784"/>
    <w:rsid w:val="00E26F9A"/>
    <w:rsid w:val="00E44C7F"/>
    <w:rsid w:val="00E55E3F"/>
    <w:rsid w:val="00E728E1"/>
    <w:rsid w:val="00EE741F"/>
    <w:rsid w:val="00F63138"/>
    <w:rsid w:val="00F94D64"/>
    <w:rsid w:val="00FD46EA"/>
    <w:rsid w:val="00FF7D71"/>
    <w:rsid w:val="04405B52"/>
    <w:rsid w:val="08A76A8F"/>
    <w:rsid w:val="0BE87E99"/>
    <w:rsid w:val="0EAE47E2"/>
    <w:rsid w:val="105772C0"/>
    <w:rsid w:val="106017C4"/>
    <w:rsid w:val="11735456"/>
    <w:rsid w:val="251071F3"/>
    <w:rsid w:val="395A55A8"/>
    <w:rsid w:val="4B9F6E4A"/>
    <w:rsid w:val="52E443C5"/>
    <w:rsid w:val="5BC06B0B"/>
    <w:rsid w:val="5CCE3A33"/>
    <w:rsid w:val="64337DCC"/>
    <w:rsid w:val="698369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qFormat/>
    <w:uiPriority w:val="0"/>
    <w:pPr>
      <w:spacing w:line="700" w:lineRule="exact"/>
      <w:ind w:left="960"/>
    </w:pPr>
    <w:rPr>
      <w:rFonts w:ascii="仿宋_GB2312" w:hAnsi="Verdana" w:cs="仿宋_GB2312"/>
      <w:color w:val="10000A"/>
      <w:sz w:val="44"/>
      <w:szCs w:val="32"/>
    </w:rPr>
  </w:style>
  <w:style w:type="paragraph" w:styleId="3">
    <w:name w:val="envelope return"/>
    <w:basedOn w:val="1"/>
    <w:qFormat/>
    <w:uiPriority w:val="0"/>
    <w:pPr>
      <w:snapToGrid w:val="0"/>
    </w:pPr>
    <w:rPr>
      <w:rFonts w:ascii="Arial" w:hAnsi="Arial" w:cs="Arial"/>
      <w:sz w:val="21"/>
      <w:szCs w:val="24"/>
    </w:rPr>
  </w:style>
  <w:style w:type="paragraph" w:styleId="4">
    <w:name w:val="Balloon Text"/>
    <w:basedOn w:val="1"/>
    <w:link w:val="16"/>
    <w:semiHidden/>
    <w:unhideWhenUsed/>
    <w:qFormat/>
    <w:uiPriority w:val="99"/>
    <w:rPr>
      <w:sz w:val="18"/>
      <w:szCs w:val="18"/>
    </w:rPr>
  </w:style>
  <w:style w:type="paragraph" w:styleId="5">
    <w:name w:val="footer"/>
    <w:basedOn w:val="1"/>
    <w:link w:val="15"/>
    <w:unhideWhenUsed/>
    <w:qFormat/>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w:basedOn w:val="1"/>
    <w:qFormat/>
    <w:uiPriority w:val="0"/>
    <w:pPr>
      <w:ind w:left="200" w:hanging="200" w:hangingChars="200"/>
    </w:pPr>
    <w:rPr>
      <w:sz w:val="21"/>
      <w:szCs w:val="24"/>
    </w:rPr>
  </w:style>
  <w:style w:type="paragraph" w:styleId="8">
    <w:name w:val="Body Text First Indent 2"/>
    <w:basedOn w:val="2"/>
    <w:next w:val="7"/>
    <w:qFormat/>
    <w:uiPriority w:val="0"/>
    <w:pPr>
      <w:spacing w:after="120" w:line="240" w:lineRule="auto"/>
      <w:ind w:left="420" w:leftChars="200" w:firstLine="420" w:firstLineChars="200"/>
    </w:p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22"/>
    <w:rPr>
      <w:b/>
    </w:rPr>
  </w:style>
  <w:style w:type="paragraph" w:customStyle="1" w:styleId="13">
    <w:name w:val="Table Paragraph"/>
    <w:basedOn w:val="1"/>
    <w:qFormat/>
    <w:uiPriority w:val="1"/>
    <w:pPr>
      <w:autoSpaceDE w:val="0"/>
      <w:autoSpaceDN w:val="0"/>
      <w:jc w:val="left"/>
    </w:pPr>
    <w:rPr>
      <w:rFonts w:ascii="Cambria Math" w:hAnsi="Cambria Math" w:eastAsia="等线" w:cs="Cambria Math"/>
      <w:kern w:val="0"/>
      <w:sz w:val="22"/>
      <w:szCs w:val="22"/>
      <w:lang w:val="zh-CN" w:bidi="zh-CN"/>
    </w:rPr>
  </w:style>
  <w:style w:type="character" w:customStyle="1" w:styleId="14">
    <w:name w:val="页眉 字符"/>
    <w:basedOn w:val="11"/>
    <w:link w:val="6"/>
    <w:qFormat/>
    <w:uiPriority w:val="99"/>
    <w:rPr>
      <w:rFonts w:ascii="Times New Roman" w:hAnsi="Times New Roman" w:eastAsia="宋体" w:cs="Times New Roman"/>
      <w:sz w:val="18"/>
      <w:szCs w:val="18"/>
    </w:rPr>
  </w:style>
  <w:style w:type="character" w:customStyle="1" w:styleId="15">
    <w:name w:val="页脚 字符"/>
    <w:basedOn w:val="11"/>
    <w:link w:val="5"/>
    <w:qFormat/>
    <w:uiPriority w:val="99"/>
    <w:rPr>
      <w:rFonts w:ascii="Times New Roman" w:hAnsi="Times New Roman" w:eastAsia="宋体" w:cs="Times New Roman"/>
      <w:sz w:val="18"/>
      <w:szCs w:val="18"/>
    </w:rPr>
  </w:style>
  <w:style w:type="character" w:customStyle="1" w:styleId="16">
    <w:name w:val="批注框文本 字符"/>
    <w:basedOn w:val="11"/>
    <w:link w:val="4"/>
    <w:semiHidden/>
    <w:uiPriority w:val="99"/>
    <w:rPr>
      <w:rFonts w:ascii="Times New Roman" w:hAnsi="Times New Roman" w:eastAsia="宋体" w:cs="Times New Roman"/>
      <w:kern w:val="2"/>
      <w:sz w:val="18"/>
      <w:szCs w:val="18"/>
    </w:rPr>
  </w:style>
  <w:style w:type="paragraph" w:customStyle="1" w:styleId="17">
    <w:name w:val="p0"/>
    <w:basedOn w:val="1"/>
    <w:uiPriority w:val="0"/>
    <w:pPr>
      <w:widowControl/>
    </w:pPr>
    <w:rPr>
      <w:rFonts w:hint="eastAsia" w:ascii="Calibri" w:hAnsi="Calibri"/>
      <w:szCs w:val="20"/>
    </w:rPr>
  </w:style>
  <w:style w:type="paragraph" w:styleId="18">
    <w:name w:val="List Paragraph"/>
    <w:basedOn w:val="1"/>
    <w:link w:val="19"/>
    <w:qFormat/>
    <w:uiPriority w:val="34"/>
    <w:pPr>
      <w:ind w:firstLine="420" w:firstLineChars="200"/>
    </w:pPr>
  </w:style>
  <w:style w:type="character" w:customStyle="1" w:styleId="19">
    <w:name w:val="列表段落 字符"/>
    <w:link w:val="18"/>
    <w:qFormat/>
    <w:locked/>
    <w:uiPriority w:val="34"/>
    <w:rPr>
      <w:rFonts w:ascii="Times New Roman" w:hAnsi="Times New Roman" w:eastAsia="宋体" w:cs="Times New Roman"/>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image" Target="media/image13.jpeg"/><Relationship Id="rId17" Type="http://schemas.openxmlformats.org/officeDocument/2006/relationships/image" Target="media/image12.jpeg"/><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466AD9-4405-40E6-B064-0F3B5D78214C}">
  <ds:schemaRefs/>
</ds:datastoreItem>
</file>

<file path=docProps/app.xml><?xml version="1.0" encoding="utf-8"?>
<Properties xmlns="http://schemas.openxmlformats.org/officeDocument/2006/extended-properties" xmlns:vt="http://schemas.openxmlformats.org/officeDocument/2006/docPropsVTypes">
  <Template>Normal</Template>
  <Pages>8</Pages>
  <Words>1566</Words>
  <Characters>1599</Characters>
  <Lines>11</Lines>
  <Paragraphs>3</Paragraphs>
  <TotalTime>1</TotalTime>
  <ScaleCrop>false</ScaleCrop>
  <LinksUpToDate>false</LinksUpToDate>
  <CharactersWithSpaces>1600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2023-08-17T08:02:00Z</dcterms:created>
  <dc:creator>信息化建设工作办公室</dc:creator>
  <cp:lastModifiedBy>韩文强</cp:lastModifiedBy>
  <cp:lastPrinted>2023-06-01T09:06:00Z</cp:lastPrinted>
  <dcterms:modified xsi:type="dcterms:W3CDTF">2026-04-14T08:28:07Z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A87D9F08916D44FD8D021F9524C2D099_13</vt:lpwstr>
  </property>
  <property fmtid="{D5CDD505-2E9C-101B-9397-08002B2CF9AE}" pid="4" name="KSOTemplateDocerSaveRecord">
    <vt:lpwstr>eyJoZGlkIjoiMzA5Yzc3MzJiMTY5Nzk3Y2ZjMDNiOTYyNjU1YTI2ODgiLCJ1c2VySWQiOiIxNzc1MjQwODk3In0=</vt:lpwstr>
  </property>
</Properties>
</file>