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725B0F">
      <w:pPr>
        <w:tabs>
          <w:tab w:val="left" w:pos="315"/>
          <w:tab w:val="left" w:pos="8820"/>
        </w:tabs>
        <w:spacing w:before="312" w:beforeLines="100" w:line="480" w:lineRule="auto"/>
        <w:jc w:val="center"/>
        <w:rPr>
          <w:rFonts w:hint="eastAsia" w:ascii="仿宋" w:hAnsi="仿宋" w:eastAsia="仿宋" w:cs="仿宋"/>
          <w:b/>
          <w:snapToGrid w:val="0"/>
          <w:color w:val="000000"/>
          <w:spacing w:val="-20"/>
          <w:sz w:val="72"/>
          <w:szCs w:val="72"/>
          <w:lang w:eastAsia="zh-CN"/>
        </w:rPr>
      </w:pPr>
    </w:p>
    <w:p w14:paraId="79AFF0C0">
      <w:pPr>
        <w:tabs>
          <w:tab w:val="left" w:pos="315"/>
          <w:tab w:val="left" w:pos="8820"/>
        </w:tabs>
        <w:spacing w:before="312" w:beforeLines="100" w:line="480" w:lineRule="auto"/>
        <w:jc w:val="center"/>
        <w:rPr>
          <w:rFonts w:hint="eastAsia" w:ascii="仿宋" w:hAnsi="仿宋" w:eastAsia="仿宋" w:cs="仿宋"/>
          <w:b/>
          <w:snapToGrid w:val="0"/>
          <w:color w:val="000000"/>
          <w:spacing w:val="-20"/>
          <w:sz w:val="72"/>
          <w:szCs w:val="72"/>
          <w:lang w:eastAsia="zh-CN"/>
        </w:rPr>
      </w:pPr>
      <w:r>
        <w:rPr>
          <w:rFonts w:hint="eastAsia" w:ascii="仿宋" w:hAnsi="仿宋" w:eastAsia="仿宋" w:cs="仿宋"/>
          <w:b/>
          <w:snapToGrid w:val="0"/>
          <w:color w:val="000000"/>
          <w:spacing w:val="-20"/>
          <w:sz w:val="72"/>
          <w:szCs w:val="72"/>
          <w:lang w:eastAsia="zh-CN"/>
        </w:rPr>
        <w:t>中国科大</w:t>
      </w:r>
      <w:r>
        <w:rPr>
          <w:rFonts w:hint="eastAsia" w:ascii="仿宋" w:hAnsi="仿宋" w:eastAsia="仿宋" w:cs="仿宋"/>
          <w:b/>
          <w:snapToGrid w:val="0"/>
          <w:color w:val="000000"/>
          <w:spacing w:val="-20"/>
          <w:sz w:val="72"/>
          <w:szCs w:val="72"/>
          <w:lang w:val="en-US" w:eastAsia="zh-CN"/>
        </w:rPr>
        <w:t>本部</w:t>
      </w:r>
      <w:r>
        <w:rPr>
          <w:rFonts w:hint="eastAsia" w:ascii="仿宋" w:hAnsi="仿宋" w:eastAsia="仿宋" w:cs="仿宋"/>
          <w:b/>
          <w:snapToGrid w:val="0"/>
          <w:color w:val="000000"/>
          <w:spacing w:val="-20"/>
          <w:sz w:val="72"/>
          <w:szCs w:val="72"/>
          <w:lang w:eastAsia="zh-CN"/>
        </w:rPr>
        <w:t>校园</w:t>
      </w:r>
      <w:r>
        <w:rPr>
          <w:rFonts w:hint="eastAsia" w:ascii="仿宋" w:hAnsi="仿宋" w:eastAsia="仿宋" w:cs="仿宋"/>
          <w:b/>
          <w:snapToGrid w:val="0"/>
          <w:color w:val="000000"/>
          <w:spacing w:val="-20"/>
          <w:sz w:val="72"/>
          <w:szCs w:val="72"/>
          <w:lang w:val="en-US" w:eastAsia="zh-CN"/>
        </w:rPr>
        <w:t>导视</w:t>
      </w:r>
      <w:r>
        <w:rPr>
          <w:rFonts w:hint="eastAsia" w:ascii="仿宋" w:hAnsi="仿宋" w:eastAsia="仿宋" w:cs="仿宋"/>
          <w:b/>
          <w:snapToGrid w:val="0"/>
          <w:color w:val="000000"/>
          <w:spacing w:val="-20"/>
          <w:sz w:val="72"/>
          <w:szCs w:val="72"/>
          <w:lang w:eastAsia="zh-CN"/>
        </w:rPr>
        <w:t>标牌</w:t>
      </w:r>
    </w:p>
    <w:p w14:paraId="2C7CA819">
      <w:pPr>
        <w:tabs>
          <w:tab w:val="left" w:pos="315"/>
          <w:tab w:val="left" w:pos="8820"/>
        </w:tabs>
        <w:spacing w:before="312" w:beforeLines="100" w:line="480" w:lineRule="auto"/>
        <w:jc w:val="center"/>
        <w:rPr>
          <w:rFonts w:hint="eastAsia" w:ascii="仿宋" w:hAnsi="仿宋" w:eastAsia="仿宋" w:cs="仿宋"/>
          <w:b/>
          <w:snapToGrid w:val="0"/>
          <w:color w:val="000000"/>
          <w:spacing w:val="-20"/>
          <w:sz w:val="72"/>
          <w:szCs w:val="72"/>
          <w:lang w:val="en-US" w:eastAsia="zh-CN"/>
        </w:rPr>
      </w:pPr>
      <w:r>
        <w:rPr>
          <w:rFonts w:hint="eastAsia" w:ascii="仿宋" w:hAnsi="仿宋" w:eastAsia="仿宋" w:cs="仿宋"/>
          <w:b/>
          <w:snapToGrid w:val="0"/>
          <w:color w:val="000000"/>
          <w:spacing w:val="-20"/>
          <w:sz w:val="72"/>
          <w:szCs w:val="72"/>
          <w:lang w:val="en-US" w:eastAsia="zh-CN"/>
        </w:rPr>
        <w:t>设计及安装项目</w:t>
      </w:r>
    </w:p>
    <w:p w14:paraId="15145C1B">
      <w:pPr>
        <w:tabs>
          <w:tab w:val="left" w:pos="315"/>
          <w:tab w:val="left" w:pos="8820"/>
        </w:tabs>
        <w:spacing w:before="312" w:beforeLines="100" w:line="480" w:lineRule="auto"/>
        <w:jc w:val="center"/>
        <w:rPr>
          <w:rFonts w:ascii="仿宋" w:hAnsi="仿宋" w:eastAsia="仿宋" w:cs="仿宋"/>
          <w:b/>
          <w:snapToGrid w:val="0"/>
          <w:color w:val="000000"/>
          <w:spacing w:val="-20"/>
          <w:sz w:val="72"/>
          <w:szCs w:val="72"/>
        </w:rPr>
      </w:pPr>
      <w:r>
        <w:rPr>
          <w:rFonts w:hint="eastAsia" w:ascii="仿宋" w:hAnsi="仿宋" w:eastAsia="仿宋" w:cs="仿宋"/>
          <w:b/>
          <w:snapToGrid w:val="0"/>
          <w:color w:val="000000"/>
          <w:spacing w:val="-20"/>
          <w:sz w:val="72"/>
          <w:szCs w:val="72"/>
          <w:lang w:val="en-US" w:eastAsia="zh-CN"/>
        </w:rPr>
        <w:t>磋商</w:t>
      </w:r>
      <w:r>
        <w:rPr>
          <w:rFonts w:hint="eastAsia" w:ascii="仿宋" w:hAnsi="仿宋" w:eastAsia="仿宋" w:cs="仿宋"/>
          <w:b/>
          <w:snapToGrid w:val="0"/>
          <w:color w:val="000000"/>
          <w:spacing w:val="-20"/>
          <w:sz w:val="72"/>
          <w:szCs w:val="72"/>
          <w:lang w:eastAsia="zh-CN"/>
        </w:rPr>
        <w:t>公告</w:t>
      </w:r>
    </w:p>
    <w:p w14:paraId="3A6DD3ED">
      <w:pPr>
        <w:tabs>
          <w:tab w:val="left" w:pos="315"/>
          <w:tab w:val="left" w:pos="8820"/>
        </w:tabs>
        <w:spacing w:before="312" w:beforeLines="100" w:line="480" w:lineRule="auto"/>
        <w:jc w:val="center"/>
        <w:rPr>
          <w:rFonts w:ascii="仿宋" w:hAnsi="仿宋" w:eastAsia="仿宋" w:cs="仿宋"/>
          <w:b/>
          <w:snapToGrid w:val="0"/>
          <w:color w:val="000000"/>
          <w:spacing w:val="-20"/>
          <w:sz w:val="72"/>
          <w:szCs w:val="72"/>
        </w:rPr>
      </w:pPr>
    </w:p>
    <w:p w14:paraId="555BA4F1">
      <w:pPr>
        <w:tabs>
          <w:tab w:val="left" w:pos="315"/>
          <w:tab w:val="left" w:pos="8820"/>
        </w:tabs>
        <w:ind w:right="240" w:rightChars="127"/>
        <w:jc w:val="center"/>
        <w:rPr>
          <w:rFonts w:hint="eastAsia" w:ascii="仿宋" w:hAnsi="仿宋" w:eastAsia="仿宋" w:cs="仿宋"/>
          <w:b/>
          <w:snapToGrid w:val="0"/>
          <w:color w:val="000000"/>
          <w:sz w:val="72"/>
          <w:szCs w:val="72"/>
        </w:rPr>
      </w:pPr>
      <w:r>
        <w:rPr>
          <w:rFonts w:hint="eastAsia" w:ascii="仿宋" w:hAnsi="仿宋" w:eastAsia="仿宋" w:cs="仿宋"/>
          <w:b/>
          <w:snapToGrid w:val="0"/>
          <w:color w:val="000000"/>
          <w:sz w:val="72"/>
          <w:szCs w:val="72"/>
        </w:rPr>
        <w:t>磋商文件</w:t>
      </w:r>
    </w:p>
    <w:p w14:paraId="7E1EE088">
      <w:pPr>
        <w:tabs>
          <w:tab w:val="left" w:pos="315"/>
          <w:tab w:val="left" w:pos="8820"/>
        </w:tabs>
        <w:spacing w:line="500" w:lineRule="exact"/>
        <w:ind w:right="240" w:rightChars="127"/>
        <w:jc w:val="center"/>
        <w:rPr>
          <w:rFonts w:hint="eastAsia" w:ascii="仿宋" w:hAnsi="仿宋" w:eastAsia="仿宋" w:cs="仿宋"/>
          <w:b/>
          <w:bCs/>
          <w:snapToGrid w:val="0"/>
          <w:color w:val="000000"/>
          <w:sz w:val="32"/>
          <w:szCs w:val="36"/>
          <w:lang w:eastAsia="zh-CN"/>
        </w:rPr>
      </w:pPr>
      <w:r>
        <w:rPr>
          <w:rFonts w:hint="eastAsia" w:ascii="仿宋" w:hAnsi="仿宋" w:eastAsia="仿宋" w:cs="仿宋"/>
          <w:b/>
          <w:bCs/>
          <w:snapToGrid w:val="0"/>
          <w:color w:val="000000"/>
          <w:sz w:val="32"/>
          <w:szCs w:val="36"/>
        </w:rPr>
        <w:t>项目编号：CG20261013-3113</w:t>
      </w:r>
    </w:p>
    <w:p w14:paraId="71638148">
      <w:pPr>
        <w:tabs>
          <w:tab w:val="left" w:pos="315"/>
          <w:tab w:val="left" w:pos="8820"/>
        </w:tabs>
        <w:spacing w:line="500" w:lineRule="exact"/>
        <w:ind w:right="240" w:rightChars="127"/>
        <w:rPr>
          <w:rFonts w:hint="eastAsia" w:ascii="仿宋" w:hAnsi="仿宋" w:eastAsia="仿宋" w:cs="仿宋"/>
          <w:snapToGrid w:val="0"/>
          <w:color w:val="000000"/>
          <w:sz w:val="44"/>
        </w:rPr>
      </w:pPr>
    </w:p>
    <w:p w14:paraId="0409B622">
      <w:pPr>
        <w:tabs>
          <w:tab w:val="left" w:pos="315"/>
          <w:tab w:val="left" w:pos="8820"/>
        </w:tabs>
        <w:spacing w:line="500" w:lineRule="exact"/>
        <w:ind w:right="240" w:rightChars="127"/>
        <w:rPr>
          <w:rFonts w:ascii="仿宋" w:hAnsi="仿宋" w:eastAsia="仿宋" w:cs="仿宋"/>
          <w:snapToGrid w:val="0"/>
          <w:color w:val="000000"/>
          <w:sz w:val="44"/>
        </w:rPr>
      </w:pPr>
    </w:p>
    <w:p w14:paraId="3EF202AA">
      <w:pPr>
        <w:pStyle w:val="18"/>
        <w:rPr>
          <w:rFonts w:ascii="仿宋" w:hAnsi="仿宋" w:eastAsia="仿宋"/>
        </w:rPr>
      </w:pPr>
    </w:p>
    <w:p w14:paraId="53B9CFFF">
      <w:pPr>
        <w:pStyle w:val="18"/>
        <w:rPr>
          <w:rFonts w:hint="eastAsia" w:ascii="仿宋" w:hAnsi="仿宋" w:eastAsia="仿宋"/>
        </w:rPr>
      </w:pPr>
    </w:p>
    <w:p w14:paraId="27289DB5">
      <w:pPr>
        <w:pStyle w:val="18"/>
        <w:ind w:firstLine="0"/>
        <w:rPr>
          <w:rFonts w:hint="eastAsia" w:ascii="仿宋" w:hAnsi="仿宋" w:eastAsia="仿宋" w:cs="仿宋"/>
          <w:snapToGrid w:val="0"/>
          <w:sz w:val="44"/>
        </w:rPr>
      </w:pPr>
    </w:p>
    <w:p w14:paraId="570BD79B">
      <w:pPr>
        <w:pStyle w:val="18"/>
        <w:ind w:firstLine="0"/>
        <w:rPr>
          <w:rFonts w:hint="eastAsia" w:ascii="仿宋" w:hAnsi="仿宋" w:eastAsia="仿宋" w:cs="仿宋"/>
          <w:snapToGrid w:val="0"/>
          <w:sz w:val="44"/>
        </w:rPr>
      </w:pPr>
    </w:p>
    <w:p w14:paraId="17F9EA1D">
      <w:pPr>
        <w:pStyle w:val="18"/>
        <w:ind w:firstLine="0"/>
        <w:rPr>
          <w:rFonts w:hint="eastAsia" w:ascii="仿宋" w:hAnsi="仿宋" w:eastAsia="仿宋" w:cs="仿宋"/>
          <w:snapToGrid w:val="0"/>
          <w:sz w:val="44"/>
        </w:rPr>
      </w:pPr>
    </w:p>
    <w:p w14:paraId="2FFC6565">
      <w:pPr>
        <w:tabs>
          <w:tab w:val="left" w:pos="315"/>
          <w:tab w:val="left" w:pos="8820"/>
        </w:tabs>
        <w:spacing w:line="500" w:lineRule="exact"/>
        <w:ind w:firstLine="598" w:firstLineChars="200"/>
        <w:jc w:val="center"/>
        <w:rPr>
          <w:rFonts w:hint="eastAsia" w:ascii="仿宋" w:hAnsi="仿宋" w:eastAsia="仿宋" w:cs="仿宋"/>
          <w:b/>
          <w:bCs/>
          <w:snapToGrid w:val="0"/>
          <w:color w:val="000000"/>
          <w:sz w:val="32"/>
          <w:szCs w:val="36"/>
        </w:rPr>
      </w:pPr>
      <w:r>
        <w:rPr>
          <w:rFonts w:hint="eastAsia" w:ascii="仿宋" w:hAnsi="仿宋" w:eastAsia="仿宋" w:cs="仿宋"/>
          <w:b/>
          <w:bCs/>
          <w:snapToGrid w:val="0"/>
          <w:color w:val="000000"/>
          <w:sz w:val="32"/>
          <w:szCs w:val="36"/>
        </w:rPr>
        <w:t>采购人：中国科学技术大学</w:t>
      </w:r>
    </w:p>
    <w:p w14:paraId="699B0DC7">
      <w:pPr>
        <w:tabs>
          <w:tab w:val="left" w:pos="315"/>
          <w:tab w:val="left" w:pos="8820"/>
        </w:tabs>
        <w:spacing w:line="500" w:lineRule="exact"/>
        <w:ind w:right="240" w:rightChars="127"/>
        <w:rPr>
          <w:rFonts w:hint="eastAsia" w:ascii="仿宋" w:hAnsi="仿宋" w:eastAsia="仿宋" w:cs="仿宋"/>
          <w:b/>
          <w:bCs/>
          <w:snapToGrid w:val="0"/>
          <w:color w:val="000000"/>
          <w:sz w:val="36"/>
          <w:szCs w:val="36"/>
        </w:rPr>
      </w:pPr>
    </w:p>
    <w:p w14:paraId="6370E4C0">
      <w:pPr>
        <w:spacing w:line="500" w:lineRule="exact"/>
        <w:jc w:val="center"/>
        <w:rPr>
          <w:rFonts w:hint="default" w:ascii="仿宋" w:hAnsi="仿宋" w:eastAsia="仿宋"/>
          <w:b/>
          <w:snapToGrid w:val="0"/>
          <w:color w:val="000000"/>
          <w:sz w:val="32"/>
          <w:lang w:val="en-US"/>
        </w:rPr>
        <w:sectPr>
          <w:pgSz w:w="11906" w:h="16838"/>
          <w:pgMar w:top="1440" w:right="1400" w:bottom="1440" w:left="1531" w:header="851" w:footer="992" w:gutter="0"/>
          <w:cols w:space="720" w:num="1"/>
          <w:docGrid w:type="linesAndChars" w:linePitch="312" w:charSpace="-4301"/>
        </w:sectPr>
      </w:pPr>
      <w:r>
        <w:rPr>
          <w:rFonts w:ascii="仿宋" w:hAnsi="仿宋" w:eastAsia="仿宋" w:cs="仿宋"/>
          <w:b/>
          <w:bCs/>
          <w:snapToGrid w:val="0"/>
          <w:color w:val="000000"/>
          <w:sz w:val="32"/>
        </w:rPr>
        <w:t>202</w:t>
      </w:r>
      <w:r>
        <w:rPr>
          <w:rFonts w:hint="eastAsia" w:ascii="仿宋" w:hAnsi="仿宋" w:eastAsia="仿宋" w:cs="仿宋"/>
          <w:b/>
          <w:bCs/>
          <w:snapToGrid w:val="0"/>
          <w:color w:val="000000"/>
          <w:sz w:val="32"/>
          <w:lang w:val="en-US" w:eastAsia="zh-CN"/>
        </w:rPr>
        <w:t>6</w:t>
      </w:r>
      <w:r>
        <w:rPr>
          <w:rFonts w:hint="eastAsia" w:ascii="仿宋" w:hAnsi="仿宋" w:eastAsia="仿宋" w:cs="仿宋"/>
          <w:b/>
          <w:bCs/>
          <w:snapToGrid w:val="0"/>
          <w:color w:val="000000"/>
          <w:sz w:val="32"/>
        </w:rPr>
        <w:t>年</w:t>
      </w:r>
      <w:r>
        <w:rPr>
          <w:rFonts w:hint="eastAsia" w:ascii="仿宋" w:hAnsi="仿宋" w:eastAsia="仿宋" w:cs="仿宋"/>
          <w:b/>
          <w:bCs/>
          <w:snapToGrid w:val="0"/>
          <w:color w:val="000000"/>
          <w:sz w:val="32"/>
          <w:lang w:val="en-US" w:eastAsia="zh-CN"/>
        </w:rPr>
        <w:t>10月</w:t>
      </w:r>
    </w:p>
    <w:p w14:paraId="68B17106">
      <w:pPr>
        <w:pStyle w:val="2"/>
        <w:bidi w:val="0"/>
        <w:jc w:val="center"/>
        <w:rPr>
          <w:rFonts w:hint="eastAsia"/>
          <w:lang w:val="en-US" w:eastAsia="zh-CN"/>
        </w:rPr>
      </w:pPr>
      <w:r>
        <w:rPr>
          <w:rFonts w:hint="eastAsia"/>
          <w:lang w:val="en-US" w:eastAsia="zh-CN"/>
        </w:rPr>
        <w:t>目  录</w:t>
      </w:r>
    </w:p>
    <w:p w14:paraId="185DC2C0">
      <w:pPr>
        <w:pStyle w:val="15"/>
        <w:tabs>
          <w:tab w:val="right" w:leader="dot" w:pos="9638"/>
        </w:tabs>
        <w:spacing w:before="120" w:after="120" w:line="360" w:lineRule="auto"/>
        <w:jc w:val="left"/>
        <w:rPr>
          <w:rFonts w:hint="eastAsia" w:ascii="仿宋" w:hAnsi="仿宋" w:eastAsia="仿宋" w:cs="仿宋"/>
          <w:b/>
          <w:bCs/>
          <w:caps/>
          <w:color w:val="auto"/>
          <w:sz w:val="28"/>
          <w:szCs w:val="28"/>
          <w:highlight w:val="none"/>
        </w:rPr>
      </w:pPr>
      <w:r>
        <w:rPr>
          <w:rFonts w:hint="eastAsia" w:ascii="仿宋" w:hAnsi="仿宋" w:eastAsia="仿宋" w:cs="宋体"/>
        </w:rPr>
        <w:fldChar w:fldCharType="begin"/>
      </w:r>
      <w:r>
        <w:rPr>
          <w:rFonts w:hint="eastAsia" w:ascii="仿宋" w:hAnsi="仿宋" w:eastAsia="仿宋" w:cs="宋体"/>
        </w:rPr>
        <w:instrText xml:space="preserve"> TOC \o "1-3" \h \z \u </w:instrText>
      </w:r>
      <w:r>
        <w:rPr>
          <w:rFonts w:hint="eastAsia" w:ascii="仿宋" w:hAnsi="仿宋" w:eastAsia="仿宋" w:cs="宋体"/>
        </w:rPr>
        <w:fldChar w:fldCharType="separate"/>
      </w:r>
      <w:r>
        <w:rPr>
          <w:rFonts w:hint="eastAsia" w:ascii="仿宋" w:hAnsi="仿宋" w:eastAsia="仿宋" w:cs="仿宋"/>
          <w:b/>
          <w:bCs/>
          <w:caps/>
          <w:color w:val="auto"/>
          <w:sz w:val="28"/>
          <w:szCs w:val="28"/>
          <w:highlight w:val="none"/>
        </w:rPr>
        <w:fldChar w:fldCharType="begin"/>
      </w:r>
      <w:r>
        <w:rPr>
          <w:rFonts w:hint="eastAsia" w:ascii="仿宋" w:hAnsi="仿宋" w:eastAsia="仿宋" w:cs="仿宋"/>
          <w:b/>
          <w:bCs/>
          <w:caps/>
          <w:color w:val="auto"/>
          <w:sz w:val="28"/>
          <w:szCs w:val="28"/>
          <w:highlight w:val="none"/>
        </w:rPr>
        <w:instrText xml:space="preserve"> TOC \o "1-1" \h \z \u </w:instrText>
      </w:r>
      <w:r>
        <w:rPr>
          <w:rFonts w:hint="eastAsia" w:ascii="仿宋" w:hAnsi="仿宋" w:eastAsia="仿宋" w:cs="仿宋"/>
          <w:b/>
          <w:bCs/>
          <w:caps/>
          <w:color w:val="auto"/>
          <w:sz w:val="28"/>
          <w:szCs w:val="28"/>
          <w:highlight w:val="none"/>
        </w:rPr>
        <w:fldChar w:fldCharType="separate"/>
      </w:r>
      <w:r>
        <w:rPr>
          <w:rFonts w:hint="eastAsia" w:ascii="仿宋" w:hAnsi="仿宋" w:eastAsia="仿宋" w:cs="仿宋"/>
          <w:b/>
          <w:bCs/>
          <w:caps/>
          <w:color w:val="auto"/>
          <w:sz w:val="28"/>
          <w:szCs w:val="28"/>
          <w:highlight w:val="none"/>
        </w:rPr>
        <w:fldChar w:fldCharType="begin"/>
      </w:r>
      <w:r>
        <w:rPr>
          <w:rFonts w:hint="eastAsia" w:ascii="仿宋" w:hAnsi="仿宋" w:eastAsia="仿宋" w:cs="仿宋"/>
          <w:b/>
          <w:bCs/>
          <w:caps/>
          <w:color w:val="auto"/>
          <w:sz w:val="28"/>
          <w:szCs w:val="28"/>
          <w:highlight w:val="none"/>
        </w:rPr>
        <w:instrText xml:space="preserve"> HYPERLINK \l _Toc10 </w:instrText>
      </w:r>
      <w:r>
        <w:rPr>
          <w:rFonts w:hint="eastAsia" w:ascii="仿宋" w:hAnsi="仿宋" w:eastAsia="仿宋" w:cs="仿宋"/>
          <w:b/>
          <w:bCs/>
          <w:caps/>
          <w:color w:val="auto"/>
          <w:sz w:val="28"/>
          <w:szCs w:val="28"/>
          <w:highlight w:val="none"/>
        </w:rPr>
        <w:fldChar w:fldCharType="separate"/>
      </w:r>
      <w:r>
        <w:rPr>
          <w:rFonts w:hint="eastAsia" w:ascii="仿宋" w:hAnsi="仿宋" w:eastAsia="仿宋" w:cs="仿宋"/>
          <w:b/>
          <w:bCs/>
          <w:caps/>
          <w:color w:val="auto"/>
          <w:sz w:val="28"/>
          <w:szCs w:val="28"/>
          <w:highlight w:val="none"/>
        </w:rPr>
        <w:t>第一章  磋商公告</w:t>
      </w:r>
      <w:r>
        <w:rPr>
          <w:rFonts w:hint="eastAsia" w:ascii="仿宋" w:hAnsi="仿宋" w:eastAsia="仿宋" w:cs="仿宋"/>
          <w:b/>
          <w:bCs/>
          <w:caps/>
          <w:color w:val="auto"/>
          <w:sz w:val="28"/>
          <w:szCs w:val="28"/>
          <w:highlight w:val="none"/>
        </w:rPr>
        <w:tab/>
      </w:r>
      <w:r>
        <w:rPr>
          <w:rFonts w:hint="eastAsia" w:ascii="仿宋" w:hAnsi="仿宋" w:eastAsia="仿宋" w:cs="仿宋"/>
          <w:b/>
          <w:bCs/>
          <w:caps/>
          <w:color w:val="auto"/>
          <w:sz w:val="28"/>
          <w:szCs w:val="28"/>
          <w:highlight w:val="none"/>
          <w:lang w:val="en-US" w:eastAsia="zh-CN"/>
        </w:rPr>
        <w:t>3</w:t>
      </w:r>
      <w:r>
        <w:rPr>
          <w:rFonts w:hint="eastAsia" w:ascii="仿宋" w:hAnsi="仿宋" w:eastAsia="仿宋" w:cs="仿宋"/>
          <w:b/>
          <w:bCs/>
          <w:caps/>
          <w:color w:val="auto"/>
          <w:sz w:val="28"/>
          <w:szCs w:val="28"/>
          <w:highlight w:val="none"/>
        </w:rPr>
        <w:fldChar w:fldCharType="end"/>
      </w:r>
    </w:p>
    <w:p w14:paraId="12598D11">
      <w:pPr>
        <w:pStyle w:val="15"/>
        <w:tabs>
          <w:tab w:val="right" w:leader="dot" w:pos="9638"/>
        </w:tabs>
        <w:spacing w:before="120" w:after="120" w:line="360" w:lineRule="auto"/>
        <w:jc w:val="left"/>
        <w:rPr>
          <w:rFonts w:hint="eastAsia" w:ascii="仿宋" w:hAnsi="仿宋" w:eastAsia="仿宋" w:cs="仿宋"/>
          <w:b/>
          <w:bCs/>
          <w:caps/>
          <w:color w:val="auto"/>
          <w:sz w:val="28"/>
          <w:szCs w:val="28"/>
          <w:highlight w:val="none"/>
        </w:rPr>
      </w:pPr>
      <w:r>
        <w:rPr>
          <w:rFonts w:hint="eastAsia" w:ascii="仿宋" w:hAnsi="仿宋" w:eastAsia="仿宋" w:cs="仿宋"/>
          <w:b/>
          <w:bCs/>
          <w:caps/>
          <w:color w:val="auto"/>
          <w:sz w:val="28"/>
          <w:szCs w:val="28"/>
          <w:highlight w:val="none"/>
        </w:rPr>
        <w:fldChar w:fldCharType="begin"/>
      </w:r>
      <w:r>
        <w:rPr>
          <w:rFonts w:hint="eastAsia" w:ascii="仿宋" w:hAnsi="仿宋" w:eastAsia="仿宋" w:cs="仿宋"/>
          <w:b/>
          <w:bCs/>
          <w:caps/>
          <w:color w:val="auto"/>
          <w:sz w:val="28"/>
          <w:szCs w:val="28"/>
          <w:highlight w:val="none"/>
        </w:rPr>
        <w:instrText xml:space="preserve"> HYPERLINK \l _Toc779 </w:instrText>
      </w:r>
      <w:r>
        <w:rPr>
          <w:rFonts w:hint="eastAsia" w:ascii="仿宋" w:hAnsi="仿宋" w:eastAsia="仿宋" w:cs="仿宋"/>
          <w:b/>
          <w:bCs/>
          <w:caps/>
          <w:color w:val="auto"/>
          <w:sz w:val="28"/>
          <w:szCs w:val="28"/>
          <w:highlight w:val="none"/>
        </w:rPr>
        <w:fldChar w:fldCharType="separate"/>
      </w:r>
      <w:r>
        <w:rPr>
          <w:rFonts w:hint="eastAsia" w:ascii="仿宋" w:hAnsi="仿宋" w:eastAsia="仿宋" w:cs="仿宋"/>
          <w:b/>
          <w:bCs/>
          <w:caps/>
          <w:color w:val="auto"/>
          <w:sz w:val="28"/>
          <w:szCs w:val="28"/>
          <w:highlight w:val="none"/>
        </w:rPr>
        <w:t>第二章  供应商须知</w:t>
      </w:r>
      <w:r>
        <w:rPr>
          <w:rFonts w:hint="eastAsia" w:ascii="仿宋" w:hAnsi="仿宋" w:eastAsia="仿宋" w:cs="仿宋"/>
          <w:b/>
          <w:bCs/>
          <w:caps/>
          <w:color w:val="auto"/>
          <w:sz w:val="28"/>
          <w:szCs w:val="28"/>
          <w:highlight w:val="none"/>
        </w:rPr>
        <w:tab/>
      </w:r>
      <w:r>
        <w:rPr>
          <w:rFonts w:hint="eastAsia" w:ascii="仿宋" w:hAnsi="仿宋" w:eastAsia="仿宋" w:cs="仿宋"/>
          <w:b/>
          <w:bCs/>
          <w:caps/>
          <w:color w:val="auto"/>
          <w:sz w:val="28"/>
          <w:szCs w:val="28"/>
          <w:highlight w:val="none"/>
          <w:lang w:val="en-US" w:eastAsia="zh-CN"/>
        </w:rPr>
        <w:t>6</w:t>
      </w:r>
      <w:r>
        <w:rPr>
          <w:rFonts w:hint="eastAsia" w:ascii="仿宋" w:hAnsi="仿宋" w:eastAsia="仿宋" w:cs="仿宋"/>
          <w:b/>
          <w:bCs/>
          <w:caps/>
          <w:color w:val="auto"/>
          <w:sz w:val="28"/>
          <w:szCs w:val="28"/>
          <w:highlight w:val="none"/>
        </w:rPr>
        <w:fldChar w:fldCharType="end"/>
      </w:r>
    </w:p>
    <w:p w14:paraId="2F3FF710">
      <w:pPr>
        <w:pStyle w:val="15"/>
        <w:tabs>
          <w:tab w:val="right" w:leader="dot" w:pos="9638"/>
        </w:tabs>
        <w:spacing w:before="120" w:after="120" w:line="360" w:lineRule="auto"/>
        <w:jc w:val="left"/>
        <w:rPr>
          <w:rFonts w:hint="eastAsia" w:ascii="仿宋" w:hAnsi="仿宋" w:eastAsia="仿宋" w:cs="仿宋"/>
          <w:b/>
          <w:bCs/>
          <w:caps/>
          <w:color w:val="auto"/>
          <w:sz w:val="28"/>
          <w:szCs w:val="28"/>
          <w:highlight w:val="none"/>
        </w:rPr>
      </w:pPr>
      <w:r>
        <w:rPr>
          <w:rFonts w:hint="eastAsia" w:ascii="仿宋" w:hAnsi="仿宋" w:eastAsia="仿宋" w:cs="仿宋"/>
          <w:b/>
          <w:bCs/>
          <w:caps/>
          <w:color w:val="auto"/>
          <w:sz w:val="28"/>
          <w:szCs w:val="28"/>
          <w:highlight w:val="none"/>
        </w:rPr>
        <w:fldChar w:fldCharType="begin"/>
      </w:r>
      <w:r>
        <w:rPr>
          <w:rFonts w:hint="eastAsia" w:ascii="仿宋" w:hAnsi="仿宋" w:eastAsia="仿宋" w:cs="仿宋"/>
          <w:b/>
          <w:bCs/>
          <w:caps/>
          <w:color w:val="auto"/>
          <w:sz w:val="28"/>
          <w:szCs w:val="28"/>
          <w:highlight w:val="none"/>
        </w:rPr>
        <w:instrText xml:space="preserve"> HYPERLINK \l _Toc9964 </w:instrText>
      </w:r>
      <w:r>
        <w:rPr>
          <w:rFonts w:hint="eastAsia" w:ascii="仿宋" w:hAnsi="仿宋" w:eastAsia="仿宋" w:cs="仿宋"/>
          <w:b/>
          <w:bCs/>
          <w:caps/>
          <w:color w:val="auto"/>
          <w:sz w:val="28"/>
          <w:szCs w:val="28"/>
          <w:highlight w:val="none"/>
        </w:rPr>
        <w:fldChar w:fldCharType="separate"/>
      </w:r>
      <w:r>
        <w:rPr>
          <w:rFonts w:hint="eastAsia" w:ascii="仿宋" w:hAnsi="仿宋" w:eastAsia="仿宋" w:cs="仿宋"/>
          <w:b/>
          <w:bCs/>
          <w:caps/>
          <w:color w:val="auto"/>
          <w:sz w:val="28"/>
          <w:szCs w:val="28"/>
          <w:highlight w:val="none"/>
        </w:rPr>
        <w:t>第三章  采购需求</w:t>
      </w:r>
      <w:r>
        <w:rPr>
          <w:rFonts w:hint="eastAsia" w:ascii="仿宋" w:hAnsi="仿宋" w:eastAsia="仿宋" w:cs="仿宋"/>
          <w:b/>
          <w:bCs/>
          <w:caps/>
          <w:color w:val="auto"/>
          <w:sz w:val="28"/>
          <w:szCs w:val="28"/>
          <w:highlight w:val="none"/>
        </w:rPr>
        <w:tab/>
      </w:r>
      <w:r>
        <w:rPr>
          <w:rFonts w:hint="eastAsia" w:ascii="仿宋" w:hAnsi="仿宋" w:eastAsia="仿宋" w:cs="仿宋"/>
          <w:b/>
          <w:bCs/>
          <w:caps/>
          <w:color w:val="auto"/>
          <w:sz w:val="28"/>
          <w:szCs w:val="28"/>
          <w:highlight w:val="none"/>
        </w:rPr>
        <w:fldChar w:fldCharType="begin"/>
      </w:r>
      <w:r>
        <w:rPr>
          <w:rFonts w:hint="eastAsia" w:ascii="仿宋" w:hAnsi="仿宋" w:eastAsia="仿宋" w:cs="仿宋"/>
          <w:b/>
          <w:bCs/>
          <w:caps/>
          <w:color w:val="auto"/>
          <w:sz w:val="28"/>
          <w:szCs w:val="28"/>
          <w:highlight w:val="none"/>
        </w:rPr>
        <w:instrText xml:space="preserve"> PAGEREF _Toc9964 \h </w:instrText>
      </w:r>
      <w:r>
        <w:rPr>
          <w:rFonts w:hint="eastAsia" w:ascii="仿宋" w:hAnsi="仿宋" w:eastAsia="仿宋" w:cs="仿宋"/>
          <w:b/>
          <w:bCs/>
          <w:caps/>
          <w:color w:val="auto"/>
          <w:sz w:val="28"/>
          <w:szCs w:val="28"/>
          <w:highlight w:val="none"/>
        </w:rPr>
        <w:fldChar w:fldCharType="separate"/>
      </w:r>
      <w:r>
        <w:rPr>
          <w:rFonts w:hint="eastAsia" w:ascii="仿宋" w:hAnsi="仿宋" w:eastAsia="仿宋" w:cs="仿宋"/>
          <w:b/>
          <w:bCs/>
          <w:caps/>
          <w:color w:val="auto"/>
          <w:sz w:val="28"/>
          <w:szCs w:val="28"/>
          <w:highlight w:val="none"/>
        </w:rPr>
        <w:t>2</w:t>
      </w:r>
      <w:r>
        <w:rPr>
          <w:rFonts w:hint="eastAsia" w:ascii="仿宋" w:hAnsi="仿宋" w:eastAsia="仿宋" w:cs="仿宋"/>
          <w:b/>
          <w:bCs/>
          <w:caps/>
          <w:color w:val="auto"/>
          <w:sz w:val="28"/>
          <w:szCs w:val="28"/>
          <w:highlight w:val="none"/>
          <w:lang w:val="en-US" w:eastAsia="zh-CN"/>
        </w:rPr>
        <w:t>2</w:t>
      </w:r>
      <w:r>
        <w:rPr>
          <w:rFonts w:hint="eastAsia" w:ascii="仿宋" w:hAnsi="仿宋" w:eastAsia="仿宋" w:cs="仿宋"/>
          <w:b/>
          <w:bCs/>
          <w:caps/>
          <w:color w:val="auto"/>
          <w:sz w:val="28"/>
          <w:szCs w:val="28"/>
          <w:highlight w:val="none"/>
        </w:rPr>
        <w:fldChar w:fldCharType="end"/>
      </w:r>
      <w:r>
        <w:rPr>
          <w:rFonts w:hint="eastAsia" w:ascii="仿宋" w:hAnsi="仿宋" w:eastAsia="仿宋" w:cs="仿宋"/>
          <w:b/>
          <w:bCs/>
          <w:caps/>
          <w:color w:val="auto"/>
          <w:sz w:val="28"/>
          <w:szCs w:val="28"/>
          <w:highlight w:val="none"/>
        </w:rPr>
        <w:fldChar w:fldCharType="end"/>
      </w:r>
    </w:p>
    <w:p w14:paraId="25209127">
      <w:pPr>
        <w:pStyle w:val="15"/>
        <w:tabs>
          <w:tab w:val="right" w:leader="dot" w:pos="9638"/>
        </w:tabs>
        <w:spacing w:before="120" w:after="120" w:line="360" w:lineRule="auto"/>
        <w:jc w:val="left"/>
        <w:rPr>
          <w:rFonts w:hint="default" w:ascii="仿宋" w:hAnsi="仿宋" w:eastAsia="仿宋" w:cs="仿宋"/>
          <w:b/>
          <w:bCs/>
          <w:caps/>
          <w:color w:val="auto"/>
          <w:sz w:val="28"/>
          <w:szCs w:val="28"/>
          <w:highlight w:val="none"/>
          <w:lang w:val="en-US" w:eastAsia="zh-CN"/>
        </w:rPr>
      </w:pPr>
      <w:r>
        <w:rPr>
          <w:rFonts w:hint="eastAsia" w:ascii="仿宋" w:hAnsi="仿宋" w:eastAsia="仿宋" w:cs="仿宋"/>
          <w:b/>
          <w:bCs/>
          <w:caps/>
          <w:color w:val="auto"/>
          <w:sz w:val="28"/>
          <w:szCs w:val="28"/>
          <w:highlight w:val="none"/>
        </w:rPr>
        <w:fldChar w:fldCharType="begin"/>
      </w:r>
      <w:r>
        <w:rPr>
          <w:rFonts w:hint="eastAsia" w:ascii="仿宋" w:hAnsi="仿宋" w:eastAsia="仿宋" w:cs="仿宋"/>
          <w:b/>
          <w:bCs/>
          <w:caps/>
          <w:color w:val="auto"/>
          <w:sz w:val="28"/>
          <w:szCs w:val="28"/>
          <w:highlight w:val="none"/>
        </w:rPr>
        <w:instrText xml:space="preserve"> HYPERLINK \l _Toc13521 </w:instrText>
      </w:r>
      <w:r>
        <w:rPr>
          <w:rFonts w:hint="eastAsia" w:ascii="仿宋" w:hAnsi="仿宋" w:eastAsia="仿宋" w:cs="仿宋"/>
          <w:b/>
          <w:bCs/>
          <w:caps/>
          <w:color w:val="auto"/>
          <w:sz w:val="28"/>
          <w:szCs w:val="28"/>
          <w:highlight w:val="none"/>
        </w:rPr>
        <w:fldChar w:fldCharType="separate"/>
      </w:r>
      <w:r>
        <w:rPr>
          <w:rFonts w:hint="eastAsia" w:ascii="仿宋" w:hAnsi="仿宋" w:eastAsia="仿宋" w:cs="仿宋"/>
          <w:b/>
          <w:bCs/>
          <w:caps/>
          <w:color w:val="auto"/>
          <w:sz w:val="28"/>
          <w:szCs w:val="28"/>
          <w:highlight w:val="none"/>
        </w:rPr>
        <w:t>第四章  磋商和评审办法</w:t>
      </w:r>
      <w:r>
        <w:rPr>
          <w:rFonts w:hint="eastAsia" w:ascii="仿宋" w:hAnsi="仿宋" w:eastAsia="仿宋" w:cs="仿宋"/>
          <w:b/>
          <w:bCs/>
          <w:caps/>
          <w:color w:val="auto"/>
          <w:sz w:val="28"/>
          <w:szCs w:val="28"/>
          <w:highlight w:val="none"/>
        </w:rPr>
        <w:tab/>
      </w:r>
      <w:r>
        <w:rPr>
          <w:rFonts w:hint="eastAsia" w:ascii="仿宋" w:hAnsi="仿宋" w:eastAsia="仿宋" w:cs="仿宋"/>
          <w:b/>
          <w:bCs/>
          <w:caps/>
          <w:color w:val="auto"/>
          <w:sz w:val="28"/>
          <w:szCs w:val="28"/>
          <w:highlight w:val="none"/>
          <w:lang w:val="en-US" w:eastAsia="zh-CN"/>
        </w:rPr>
        <w:t>2</w:t>
      </w:r>
      <w:r>
        <w:rPr>
          <w:rFonts w:hint="eastAsia" w:ascii="仿宋" w:hAnsi="仿宋" w:eastAsia="仿宋" w:cs="仿宋"/>
          <w:b/>
          <w:bCs/>
          <w:caps/>
          <w:color w:val="auto"/>
          <w:sz w:val="28"/>
          <w:szCs w:val="28"/>
          <w:highlight w:val="none"/>
        </w:rPr>
        <w:fldChar w:fldCharType="end"/>
      </w:r>
      <w:r>
        <w:rPr>
          <w:rFonts w:hint="eastAsia" w:ascii="仿宋" w:hAnsi="仿宋" w:eastAsia="仿宋" w:cs="仿宋"/>
          <w:b/>
          <w:bCs/>
          <w:caps/>
          <w:color w:val="auto"/>
          <w:sz w:val="28"/>
          <w:szCs w:val="28"/>
          <w:highlight w:val="none"/>
          <w:lang w:val="en-US" w:eastAsia="zh-CN"/>
        </w:rPr>
        <w:t>6</w:t>
      </w:r>
    </w:p>
    <w:p w14:paraId="3D3374BA">
      <w:pPr>
        <w:pStyle w:val="15"/>
        <w:tabs>
          <w:tab w:val="right" w:leader="dot" w:pos="9638"/>
        </w:tabs>
        <w:spacing w:before="120" w:after="120" w:line="360" w:lineRule="auto"/>
        <w:jc w:val="left"/>
        <w:rPr>
          <w:rFonts w:hint="eastAsia" w:ascii="仿宋" w:hAnsi="仿宋" w:eastAsia="仿宋" w:cs="仿宋"/>
          <w:b/>
          <w:bCs/>
          <w:caps/>
          <w:color w:val="auto"/>
          <w:sz w:val="28"/>
          <w:szCs w:val="28"/>
          <w:highlight w:val="none"/>
        </w:rPr>
      </w:pPr>
      <w:r>
        <w:rPr>
          <w:rFonts w:hint="eastAsia" w:ascii="仿宋" w:hAnsi="仿宋" w:eastAsia="仿宋" w:cs="仿宋"/>
          <w:b/>
          <w:bCs/>
          <w:caps/>
          <w:color w:val="auto"/>
          <w:sz w:val="28"/>
          <w:szCs w:val="28"/>
          <w:highlight w:val="none"/>
        </w:rPr>
        <w:fldChar w:fldCharType="begin"/>
      </w:r>
      <w:r>
        <w:rPr>
          <w:rFonts w:hint="eastAsia" w:ascii="仿宋" w:hAnsi="仿宋" w:eastAsia="仿宋" w:cs="仿宋"/>
          <w:b/>
          <w:bCs/>
          <w:caps/>
          <w:color w:val="auto"/>
          <w:sz w:val="28"/>
          <w:szCs w:val="28"/>
          <w:highlight w:val="none"/>
        </w:rPr>
        <w:instrText xml:space="preserve"> HYPERLINK \l _Toc24054 </w:instrText>
      </w:r>
      <w:r>
        <w:rPr>
          <w:rFonts w:hint="eastAsia" w:ascii="仿宋" w:hAnsi="仿宋" w:eastAsia="仿宋" w:cs="仿宋"/>
          <w:b/>
          <w:bCs/>
          <w:caps/>
          <w:color w:val="auto"/>
          <w:sz w:val="28"/>
          <w:szCs w:val="28"/>
          <w:highlight w:val="none"/>
        </w:rPr>
        <w:fldChar w:fldCharType="separate"/>
      </w:r>
      <w:r>
        <w:rPr>
          <w:rFonts w:hint="eastAsia" w:ascii="仿宋" w:hAnsi="仿宋" w:eastAsia="仿宋" w:cs="仿宋"/>
          <w:b/>
          <w:bCs/>
          <w:caps/>
          <w:color w:val="auto"/>
          <w:sz w:val="28"/>
          <w:szCs w:val="28"/>
          <w:highlight w:val="none"/>
        </w:rPr>
        <w:t>第五章  合同主要条款和格式（参考）</w:t>
      </w:r>
      <w:r>
        <w:rPr>
          <w:rFonts w:hint="eastAsia" w:ascii="仿宋" w:hAnsi="仿宋" w:eastAsia="仿宋" w:cs="仿宋"/>
          <w:b/>
          <w:bCs/>
          <w:caps/>
          <w:color w:val="auto"/>
          <w:sz w:val="28"/>
          <w:szCs w:val="28"/>
          <w:highlight w:val="none"/>
        </w:rPr>
        <w:tab/>
      </w:r>
      <w:r>
        <w:rPr>
          <w:rFonts w:hint="eastAsia" w:ascii="仿宋" w:hAnsi="仿宋" w:eastAsia="仿宋" w:cs="仿宋"/>
          <w:b/>
          <w:bCs/>
          <w:caps/>
          <w:color w:val="auto"/>
          <w:sz w:val="28"/>
          <w:szCs w:val="28"/>
          <w:highlight w:val="none"/>
        </w:rPr>
        <w:fldChar w:fldCharType="begin"/>
      </w:r>
      <w:r>
        <w:rPr>
          <w:rFonts w:hint="eastAsia" w:ascii="仿宋" w:hAnsi="仿宋" w:eastAsia="仿宋" w:cs="仿宋"/>
          <w:b/>
          <w:bCs/>
          <w:caps/>
          <w:color w:val="auto"/>
          <w:sz w:val="28"/>
          <w:szCs w:val="28"/>
          <w:highlight w:val="none"/>
        </w:rPr>
        <w:instrText xml:space="preserve"> PAGEREF _Toc24054 \h </w:instrText>
      </w:r>
      <w:r>
        <w:rPr>
          <w:rFonts w:hint="eastAsia" w:ascii="仿宋" w:hAnsi="仿宋" w:eastAsia="仿宋" w:cs="仿宋"/>
          <w:b/>
          <w:bCs/>
          <w:caps/>
          <w:color w:val="auto"/>
          <w:sz w:val="28"/>
          <w:szCs w:val="28"/>
          <w:highlight w:val="none"/>
        </w:rPr>
        <w:fldChar w:fldCharType="separate"/>
      </w:r>
      <w:r>
        <w:rPr>
          <w:rFonts w:hint="eastAsia" w:ascii="仿宋" w:hAnsi="仿宋" w:eastAsia="仿宋" w:cs="仿宋"/>
          <w:b/>
          <w:bCs/>
          <w:caps/>
          <w:color w:val="auto"/>
          <w:sz w:val="28"/>
          <w:szCs w:val="28"/>
          <w:highlight w:val="none"/>
        </w:rPr>
        <w:t>3</w:t>
      </w:r>
      <w:r>
        <w:rPr>
          <w:rFonts w:hint="eastAsia" w:ascii="仿宋" w:hAnsi="仿宋" w:eastAsia="仿宋" w:cs="仿宋"/>
          <w:b/>
          <w:bCs/>
          <w:caps/>
          <w:color w:val="auto"/>
          <w:sz w:val="28"/>
          <w:szCs w:val="28"/>
          <w:highlight w:val="none"/>
          <w:lang w:val="en-US" w:eastAsia="zh-CN"/>
        </w:rPr>
        <w:t>7</w:t>
      </w:r>
      <w:r>
        <w:rPr>
          <w:rFonts w:hint="eastAsia" w:ascii="仿宋" w:hAnsi="仿宋" w:eastAsia="仿宋" w:cs="仿宋"/>
          <w:b/>
          <w:bCs/>
          <w:caps/>
          <w:color w:val="auto"/>
          <w:sz w:val="28"/>
          <w:szCs w:val="28"/>
          <w:highlight w:val="none"/>
        </w:rPr>
        <w:fldChar w:fldCharType="end"/>
      </w:r>
      <w:r>
        <w:rPr>
          <w:rFonts w:hint="eastAsia" w:ascii="仿宋" w:hAnsi="仿宋" w:eastAsia="仿宋" w:cs="仿宋"/>
          <w:b/>
          <w:bCs/>
          <w:caps/>
          <w:color w:val="auto"/>
          <w:sz w:val="28"/>
          <w:szCs w:val="28"/>
          <w:highlight w:val="none"/>
        </w:rPr>
        <w:fldChar w:fldCharType="end"/>
      </w:r>
    </w:p>
    <w:p w14:paraId="5A6F749D">
      <w:pPr>
        <w:pStyle w:val="15"/>
        <w:tabs>
          <w:tab w:val="right" w:leader="dot" w:pos="9638"/>
        </w:tabs>
        <w:spacing w:before="120" w:after="120" w:line="360" w:lineRule="auto"/>
        <w:jc w:val="left"/>
        <w:rPr>
          <w:rFonts w:hint="eastAsia" w:ascii="仿宋" w:hAnsi="仿宋" w:eastAsia="仿宋" w:cs="仿宋"/>
          <w:b/>
          <w:bCs/>
          <w:caps/>
          <w:color w:val="auto"/>
          <w:sz w:val="28"/>
          <w:szCs w:val="28"/>
          <w:highlight w:val="none"/>
        </w:rPr>
      </w:pPr>
      <w:r>
        <w:rPr>
          <w:rFonts w:hint="eastAsia" w:ascii="仿宋" w:hAnsi="仿宋" w:eastAsia="仿宋" w:cs="仿宋"/>
          <w:b/>
          <w:bCs/>
          <w:caps/>
          <w:color w:val="auto"/>
          <w:sz w:val="28"/>
          <w:szCs w:val="28"/>
          <w:highlight w:val="none"/>
        </w:rPr>
        <w:fldChar w:fldCharType="begin"/>
      </w:r>
      <w:r>
        <w:rPr>
          <w:rFonts w:hint="eastAsia" w:ascii="仿宋" w:hAnsi="仿宋" w:eastAsia="仿宋" w:cs="仿宋"/>
          <w:b/>
          <w:bCs/>
          <w:caps/>
          <w:color w:val="auto"/>
          <w:sz w:val="28"/>
          <w:szCs w:val="28"/>
          <w:highlight w:val="none"/>
        </w:rPr>
        <w:instrText xml:space="preserve"> HYPERLINK \l _Toc27579 </w:instrText>
      </w:r>
      <w:r>
        <w:rPr>
          <w:rFonts w:hint="eastAsia" w:ascii="仿宋" w:hAnsi="仿宋" w:eastAsia="仿宋" w:cs="仿宋"/>
          <w:b/>
          <w:bCs/>
          <w:caps/>
          <w:color w:val="auto"/>
          <w:sz w:val="28"/>
          <w:szCs w:val="28"/>
          <w:highlight w:val="none"/>
        </w:rPr>
        <w:fldChar w:fldCharType="separate"/>
      </w:r>
      <w:r>
        <w:rPr>
          <w:rFonts w:hint="eastAsia" w:ascii="仿宋" w:hAnsi="仿宋" w:eastAsia="仿宋" w:cs="仿宋"/>
          <w:b/>
          <w:bCs/>
          <w:caps/>
          <w:color w:val="auto"/>
          <w:sz w:val="28"/>
          <w:szCs w:val="28"/>
          <w:highlight w:val="none"/>
        </w:rPr>
        <w:t>第六章  响应文件格式</w:t>
      </w:r>
      <w:r>
        <w:rPr>
          <w:rFonts w:hint="eastAsia" w:ascii="仿宋" w:hAnsi="仿宋" w:eastAsia="仿宋" w:cs="仿宋"/>
          <w:b/>
          <w:bCs/>
          <w:caps/>
          <w:color w:val="auto"/>
          <w:sz w:val="28"/>
          <w:szCs w:val="28"/>
          <w:highlight w:val="none"/>
        </w:rPr>
        <w:tab/>
      </w:r>
      <w:r>
        <w:rPr>
          <w:rFonts w:hint="eastAsia" w:ascii="仿宋" w:hAnsi="仿宋" w:eastAsia="仿宋" w:cs="仿宋"/>
          <w:b/>
          <w:bCs/>
          <w:caps/>
          <w:color w:val="auto"/>
          <w:sz w:val="28"/>
          <w:szCs w:val="28"/>
          <w:highlight w:val="none"/>
        </w:rPr>
        <w:fldChar w:fldCharType="begin"/>
      </w:r>
      <w:r>
        <w:rPr>
          <w:rFonts w:hint="eastAsia" w:ascii="仿宋" w:hAnsi="仿宋" w:eastAsia="仿宋" w:cs="仿宋"/>
          <w:b/>
          <w:bCs/>
          <w:caps/>
          <w:color w:val="auto"/>
          <w:sz w:val="28"/>
          <w:szCs w:val="28"/>
          <w:highlight w:val="none"/>
        </w:rPr>
        <w:instrText xml:space="preserve"> PAGEREF _Toc27579 \h </w:instrText>
      </w:r>
      <w:r>
        <w:rPr>
          <w:rFonts w:hint="eastAsia" w:ascii="仿宋" w:hAnsi="仿宋" w:eastAsia="仿宋" w:cs="仿宋"/>
          <w:b/>
          <w:bCs/>
          <w:caps/>
          <w:color w:val="auto"/>
          <w:sz w:val="28"/>
          <w:szCs w:val="28"/>
          <w:highlight w:val="none"/>
        </w:rPr>
        <w:fldChar w:fldCharType="separate"/>
      </w:r>
      <w:r>
        <w:rPr>
          <w:rFonts w:hint="eastAsia" w:ascii="仿宋" w:hAnsi="仿宋" w:eastAsia="仿宋" w:cs="仿宋"/>
          <w:b/>
          <w:bCs/>
          <w:caps/>
          <w:color w:val="auto"/>
          <w:sz w:val="28"/>
          <w:szCs w:val="28"/>
          <w:highlight w:val="none"/>
        </w:rPr>
        <w:t>4</w:t>
      </w:r>
      <w:r>
        <w:rPr>
          <w:rFonts w:hint="eastAsia" w:ascii="仿宋" w:hAnsi="仿宋" w:eastAsia="仿宋" w:cs="仿宋"/>
          <w:b/>
          <w:bCs/>
          <w:caps/>
          <w:color w:val="auto"/>
          <w:sz w:val="28"/>
          <w:szCs w:val="28"/>
          <w:highlight w:val="none"/>
          <w:lang w:val="en-US" w:eastAsia="zh-CN"/>
        </w:rPr>
        <w:t>2</w:t>
      </w:r>
      <w:r>
        <w:rPr>
          <w:rFonts w:hint="eastAsia" w:ascii="仿宋" w:hAnsi="仿宋" w:eastAsia="仿宋" w:cs="仿宋"/>
          <w:b/>
          <w:bCs/>
          <w:caps/>
          <w:color w:val="auto"/>
          <w:sz w:val="28"/>
          <w:szCs w:val="28"/>
          <w:highlight w:val="none"/>
        </w:rPr>
        <w:fldChar w:fldCharType="end"/>
      </w:r>
      <w:r>
        <w:rPr>
          <w:rFonts w:hint="eastAsia" w:ascii="仿宋" w:hAnsi="仿宋" w:eastAsia="仿宋" w:cs="仿宋"/>
          <w:b/>
          <w:bCs/>
          <w:caps/>
          <w:color w:val="auto"/>
          <w:sz w:val="28"/>
          <w:szCs w:val="28"/>
          <w:highlight w:val="none"/>
        </w:rPr>
        <w:fldChar w:fldCharType="end"/>
      </w:r>
    </w:p>
    <w:p w14:paraId="0BA081CF">
      <w:pPr>
        <w:pStyle w:val="15"/>
        <w:tabs>
          <w:tab w:val="right" w:leader="dot" w:pos="9638"/>
        </w:tabs>
        <w:spacing w:before="120" w:after="120" w:line="360" w:lineRule="auto"/>
        <w:jc w:val="left"/>
        <w:rPr>
          <w:rFonts w:ascii="仿宋" w:hAnsi="仿宋" w:eastAsia="仿宋"/>
          <w:sz w:val="21"/>
          <w:szCs w:val="22"/>
        </w:rPr>
      </w:pPr>
      <w:r>
        <w:rPr>
          <w:rFonts w:hint="eastAsia" w:ascii="仿宋" w:hAnsi="仿宋" w:eastAsia="仿宋" w:cs="仿宋"/>
          <w:b/>
          <w:bCs/>
          <w:caps/>
          <w:color w:val="auto"/>
          <w:sz w:val="28"/>
          <w:szCs w:val="28"/>
          <w:highlight w:val="none"/>
        </w:rPr>
        <w:fldChar w:fldCharType="end"/>
      </w:r>
    </w:p>
    <w:p w14:paraId="6FB835DA">
      <w:pPr>
        <w:pStyle w:val="2"/>
        <w:spacing w:line="0" w:lineRule="atLeast"/>
        <w:jc w:val="center"/>
        <w:rPr>
          <w:rFonts w:hint="eastAsia" w:ascii="仿宋" w:hAnsi="仿宋" w:eastAsia="仿宋" w:cs="宋体"/>
          <w:bCs/>
          <w:lang w:val="zh-CN"/>
        </w:rPr>
        <w:sectPr>
          <w:headerReference r:id="rId5" w:type="first"/>
          <w:headerReference r:id="rId3" w:type="default"/>
          <w:footerReference r:id="rId6" w:type="default"/>
          <w:headerReference r:id="rId4" w:type="even"/>
          <w:pgSz w:w="11906" w:h="16838"/>
          <w:pgMar w:top="1440" w:right="1400" w:bottom="1440" w:left="1531" w:header="851" w:footer="992" w:gutter="0"/>
          <w:pgNumType w:start="1"/>
          <w:cols w:space="720" w:num="1"/>
          <w:docGrid w:type="linesAndChars" w:linePitch="312" w:charSpace="-4301"/>
        </w:sectPr>
      </w:pPr>
      <w:r>
        <w:rPr>
          <w:rFonts w:hint="eastAsia" w:ascii="仿宋" w:hAnsi="仿宋" w:eastAsia="仿宋" w:cs="宋体"/>
          <w:bCs/>
          <w:lang w:val="zh-CN"/>
        </w:rPr>
        <w:fldChar w:fldCharType="end"/>
      </w:r>
      <w:bookmarkStart w:id="0" w:name="_Toc17099"/>
      <w:bookmarkStart w:id="1" w:name="_Toc5948"/>
      <w:bookmarkStart w:id="2" w:name="_Toc112339984"/>
    </w:p>
    <w:bookmarkEnd w:id="0"/>
    <w:bookmarkEnd w:id="1"/>
    <w:bookmarkEnd w:id="2"/>
    <w:p w14:paraId="5C21D63F">
      <w:pPr>
        <w:pStyle w:val="2"/>
        <w:widowControl/>
        <w:spacing w:line="240" w:lineRule="auto"/>
        <w:jc w:val="center"/>
        <w:rPr>
          <w:rFonts w:hint="eastAsia"/>
          <w:lang w:val="en-US" w:eastAsia="zh-CN"/>
        </w:rPr>
      </w:pPr>
      <w:bookmarkStart w:id="3" w:name="_Toc466024489"/>
      <w:bookmarkStart w:id="4" w:name="_Toc10"/>
      <w:bookmarkStart w:id="5" w:name="_Toc112339985"/>
      <w:bookmarkStart w:id="6" w:name="_Toc15124"/>
      <w:bookmarkStart w:id="7" w:name="_Toc25049"/>
      <w:r>
        <w:rPr>
          <w:rFonts w:hint="eastAsia" w:ascii="仿宋" w:hAnsi="仿宋" w:eastAsia="仿宋" w:cs="仿宋"/>
          <w:color w:val="auto"/>
          <w:kern w:val="2"/>
          <w:highlight w:val="none"/>
        </w:rPr>
        <w:t xml:space="preserve">第一章  </w:t>
      </w:r>
      <w:bookmarkEnd w:id="3"/>
      <w:r>
        <w:rPr>
          <w:rFonts w:hint="eastAsia" w:ascii="仿宋" w:hAnsi="仿宋" w:eastAsia="仿宋" w:cs="仿宋"/>
          <w:color w:val="auto"/>
          <w:kern w:val="2"/>
          <w:highlight w:val="none"/>
        </w:rPr>
        <w:t>磋商公告</w:t>
      </w:r>
      <w:bookmarkEnd w:id="4"/>
    </w:p>
    <w:p w14:paraId="2CE1D6BB">
      <w:pPr>
        <w:widowControl/>
        <w:spacing w:line="560" w:lineRule="exact"/>
        <w:jc w:val="center"/>
        <w:rPr>
          <w:rFonts w:hint="eastAsia" w:ascii="仿宋" w:hAnsi="仿宋" w:eastAsia="仿宋" w:cs="仿宋"/>
          <w:b/>
          <w:bCs/>
          <w:color w:val="auto"/>
          <w:sz w:val="44"/>
          <w:szCs w:val="44"/>
          <w:highlight w:val="none"/>
          <w:lang w:val="en-US" w:eastAsia="zh-CN"/>
        </w:rPr>
      </w:pPr>
      <w:r>
        <w:rPr>
          <w:rFonts w:hint="eastAsia" w:ascii="仿宋" w:hAnsi="仿宋" w:eastAsia="仿宋" w:cs="仿宋"/>
          <w:b/>
          <w:bCs/>
          <w:color w:val="auto"/>
          <w:sz w:val="44"/>
          <w:szCs w:val="44"/>
          <w:highlight w:val="none"/>
          <w:lang w:val="en-US" w:eastAsia="zh-CN"/>
        </w:rPr>
        <w:t>中国科大本部校园导视标牌设计及安装项目</w:t>
      </w:r>
    </w:p>
    <w:p w14:paraId="41298C0A">
      <w:pPr>
        <w:widowControl/>
        <w:spacing w:line="560" w:lineRule="exact"/>
        <w:jc w:val="center"/>
        <w:rPr>
          <w:rFonts w:hint="eastAsia" w:ascii="仿宋" w:hAnsi="仿宋" w:eastAsia="仿宋" w:cs="仿宋"/>
          <w:b/>
          <w:bCs/>
          <w:color w:val="auto"/>
          <w:sz w:val="44"/>
          <w:szCs w:val="44"/>
          <w:highlight w:val="none"/>
          <w:lang w:val="en-US" w:eastAsia="zh-CN"/>
        </w:rPr>
      </w:pPr>
      <w:r>
        <w:rPr>
          <w:rFonts w:hint="eastAsia" w:ascii="仿宋" w:hAnsi="仿宋" w:eastAsia="仿宋" w:cs="仿宋"/>
          <w:b/>
          <w:bCs/>
          <w:color w:val="auto"/>
          <w:sz w:val="44"/>
          <w:szCs w:val="44"/>
          <w:highlight w:val="none"/>
          <w:lang w:val="en-US" w:eastAsia="zh-CN"/>
        </w:rPr>
        <w:t>磋商公告</w:t>
      </w:r>
    </w:p>
    <w:p w14:paraId="2F78CFBC">
      <w:pPr>
        <w:widowControl/>
        <w:spacing w:line="560" w:lineRule="exact"/>
        <w:ind w:firstLine="518"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现对中国科学技术大学本部校园导视标牌设计及安装项目</w:t>
      </w:r>
      <w:r>
        <w:rPr>
          <w:rFonts w:hint="eastAsia" w:ascii="仿宋" w:hAnsi="仿宋" w:eastAsia="仿宋" w:cs="仿宋"/>
          <w:color w:val="auto"/>
          <w:sz w:val="28"/>
          <w:szCs w:val="28"/>
          <w:highlight w:val="none"/>
        </w:rPr>
        <w:t>进行磋商采购，欢迎具备资格的供应商参加。</w:t>
      </w:r>
    </w:p>
    <w:p w14:paraId="2C5F5238">
      <w:pPr>
        <w:pStyle w:val="3"/>
        <w:widowControl/>
        <w:adjustRightInd w:val="0"/>
        <w:snapToGrid w:val="0"/>
        <w:spacing w:line="560" w:lineRule="exact"/>
        <w:ind w:firstLine="518" w:firstLineChars="200"/>
        <w:rPr>
          <w:rStyle w:val="35"/>
          <w:rFonts w:hint="eastAsia" w:ascii="仿宋" w:hAnsi="仿宋" w:eastAsia="仿宋" w:cs="仿宋"/>
          <w:b w:val="0"/>
          <w:bCs w:val="0"/>
          <w:color w:val="auto"/>
          <w:sz w:val="28"/>
          <w:szCs w:val="28"/>
          <w:highlight w:val="none"/>
        </w:rPr>
      </w:pPr>
      <w:r>
        <w:rPr>
          <w:rStyle w:val="35"/>
          <w:rFonts w:hint="eastAsia" w:ascii="仿宋" w:hAnsi="仿宋" w:eastAsia="仿宋" w:cs="仿宋"/>
          <w:b w:val="0"/>
          <w:bCs w:val="0"/>
          <w:color w:val="auto"/>
          <w:sz w:val="28"/>
          <w:szCs w:val="28"/>
          <w:highlight w:val="none"/>
        </w:rPr>
        <w:t>一、项目名称及内容</w:t>
      </w:r>
    </w:p>
    <w:p w14:paraId="7FFEA529">
      <w:pPr>
        <w:spacing w:line="560" w:lineRule="exact"/>
        <w:ind w:firstLine="518"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1.项目名称：</w:t>
      </w:r>
      <w:r>
        <w:rPr>
          <w:rFonts w:hint="eastAsia" w:ascii="仿宋" w:hAnsi="仿宋" w:eastAsia="仿宋" w:cs="仿宋"/>
          <w:color w:val="auto"/>
          <w:sz w:val="28"/>
          <w:szCs w:val="28"/>
          <w:highlight w:val="none"/>
          <w:lang w:val="en-US" w:eastAsia="zh-CN"/>
        </w:rPr>
        <w:t>中国科大本部校园导视标牌设计及安装项目</w:t>
      </w:r>
    </w:p>
    <w:p w14:paraId="6171E767">
      <w:pPr>
        <w:spacing w:line="560" w:lineRule="exact"/>
        <w:ind w:firstLine="518"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2.采购人：中国科学技术大学</w:t>
      </w:r>
    </w:p>
    <w:p w14:paraId="35A8A3FB">
      <w:pPr>
        <w:spacing w:line="560" w:lineRule="exact"/>
        <w:ind w:firstLine="518" w:firstLineChars="200"/>
        <w:jc w:val="left"/>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3.采购编号：CG20261013-3113</w:t>
      </w:r>
    </w:p>
    <w:p w14:paraId="5251E970">
      <w:pPr>
        <w:spacing w:line="560" w:lineRule="exact"/>
        <w:ind w:firstLine="518"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.资金来源：自筹，已落实</w:t>
      </w:r>
    </w:p>
    <w:p w14:paraId="601BD766">
      <w:pPr>
        <w:spacing w:line="560" w:lineRule="exact"/>
        <w:ind w:firstLine="518" w:firstLineChars="200"/>
        <w:jc w:val="left"/>
        <w:rPr>
          <w:rFonts w:hint="eastAsia" w:ascii="仿宋" w:hAnsi="仿宋" w:eastAsia="仿宋" w:cs="仿宋"/>
          <w:color w:val="auto"/>
          <w:sz w:val="28"/>
          <w:szCs w:val="28"/>
          <w:highlight w:val="yellow"/>
        </w:rPr>
      </w:pPr>
      <w:r>
        <w:rPr>
          <w:rFonts w:hint="eastAsia" w:ascii="仿宋" w:hAnsi="仿宋" w:eastAsia="仿宋" w:cs="仿宋"/>
          <w:color w:val="auto"/>
          <w:sz w:val="28"/>
          <w:szCs w:val="28"/>
          <w:highlight w:val="yellow"/>
          <w:lang w:val="en-US" w:eastAsia="zh-CN"/>
        </w:rPr>
        <w:t>5</w:t>
      </w:r>
      <w:r>
        <w:rPr>
          <w:rFonts w:hint="eastAsia" w:ascii="仿宋" w:hAnsi="仿宋" w:eastAsia="仿宋" w:cs="仿宋"/>
          <w:color w:val="auto"/>
          <w:sz w:val="28"/>
          <w:szCs w:val="28"/>
          <w:highlight w:val="yellow"/>
        </w:rPr>
        <w:t>.</w:t>
      </w:r>
      <w:r>
        <w:rPr>
          <w:rFonts w:hint="eastAsia" w:ascii="仿宋" w:hAnsi="仿宋" w:eastAsia="仿宋" w:cs="仿宋"/>
          <w:color w:val="auto"/>
          <w:sz w:val="28"/>
          <w:szCs w:val="28"/>
          <w:highlight w:val="yellow"/>
          <w:lang w:val="en-US" w:eastAsia="zh-CN"/>
        </w:rPr>
        <w:t>项目</w:t>
      </w:r>
      <w:r>
        <w:rPr>
          <w:rFonts w:hint="eastAsia" w:ascii="仿宋" w:hAnsi="仿宋" w:eastAsia="仿宋" w:cs="仿宋"/>
          <w:color w:val="auto"/>
          <w:sz w:val="28"/>
          <w:szCs w:val="28"/>
          <w:highlight w:val="yellow"/>
        </w:rPr>
        <w:t>预算：</w:t>
      </w:r>
      <w:r>
        <w:rPr>
          <w:rFonts w:hint="eastAsia" w:ascii="仿宋" w:hAnsi="仿宋" w:eastAsia="仿宋" w:cs="仿宋"/>
          <w:color w:val="auto"/>
          <w:sz w:val="28"/>
          <w:szCs w:val="28"/>
          <w:highlight w:val="yellow"/>
          <w:lang w:val="en-US" w:eastAsia="zh-CN"/>
        </w:rPr>
        <w:t>55</w:t>
      </w:r>
      <w:r>
        <w:rPr>
          <w:rFonts w:hint="eastAsia" w:ascii="仿宋" w:hAnsi="仿宋" w:eastAsia="仿宋" w:cs="仿宋"/>
          <w:color w:val="auto"/>
          <w:sz w:val="28"/>
          <w:szCs w:val="28"/>
          <w:highlight w:val="yellow"/>
        </w:rPr>
        <w:t>万元（最高限价）</w:t>
      </w:r>
    </w:p>
    <w:p w14:paraId="42330844">
      <w:pPr>
        <w:spacing w:line="560" w:lineRule="exact"/>
        <w:ind w:firstLine="518"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.交货期限：接到采购人通知后</w:t>
      </w:r>
      <w:r>
        <w:rPr>
          <w:rFonts w:hint="eastAsia" w:ascii="仿宋" w:hAnsi="仿宋" w:eastAsia="仿宋" w:cs="仿宋"/>
          <w:color w:val="auto"/>
          <w:sz w:val="28"/>
          <w:szCs w:val="28"/>
          <w:highlight w:val="none"/>
          <w:lang w:val="en-US" w:eastAsia="zh-CN"/>
        </w:rPr>
        <w:t>60日历日内</w:t>
      </w:r>
      <w:r>
        <w:rPr>
          <w:rFonts w:hint="eastAsia" w:ascii="仿宋" w:hAnsi="仿宋" w:eastAsia="仿宋" w:cs="仿宋"/>
          <w:color w:val="auto"/>
          <w:sz w:val="28"/>
          <w:szCs w:val="28"/>
          <w:highlight w:val="none"/>
        </w:rPr>
        <w:t>完成全部</w:t>
      </w:r>
      <w:r>
        <w:rPr>
          <w:rFonts w:hint="eastAsia" w:ascii="仿宋" w:hAnsi="仿宋" w:eastAsia="仿宋" w:cs="仿宋"/>
          <w:color w:val="auto"/>
          <w:sz w:val="28"/>
          <w:szCs w:val="28"/>
          <w:highlight w:val="none"/>
          <w:lang w:val="en-US" w:eastAsia="zh-CN"/>
        </w:rPr>
        <w:t>标牌方案深化设计、旧标牌拆除、成品标牌制作、现场安装（含高空作业）、辅材配套、垃圾清运、调试、成品保护等全部工作。</w:t>
      </w:r>
    </w:p>
    <w:p w14:paraId="3D14484A">
      <w:pPr>
        <w:spacing w:line="560" w:lineRule="exact"/>
        <w:ind w:firstLine="518"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7</w:t>
      </w:r>
      <w:r>
        <w:rPr>
          <w:rFonts w:hint="eastAsia" w:ascii="仿宋" w:hAnsi="仿宋" w:eastAsia="仿宋" w:cs="仿宋"/>
          <w:color w:val="auto"/>
          <w:sz w:val="28"/>
          <w:szCs w:val="28"/>
          <w:highlight w:val="none"/>
        </w:rPr>
        <w:t>.付款方式</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项目完成验收合格后30日内。付款前，供应商须开具正规增值税发票</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实际安装清单汇总</w:t>
      </w:r>
      <w:r>
        <w:rPr>
          <w:rFonts w:hint="eastAsia" w:ascii="仿宋" w:hAnsi="仿宋" w:eastAsia="仿宋" w:cs="仿宋"/>
          <w:color w:val="auto"/>
          <w:sz w:val="28"/>
          <w:szCs w:val="28"/>
          <w:highlight w:val="none"/>
        </w:rPr>
        <w:t>。</w:t>
      </w:r>
    </w:p>
    <w:p w14:paraId="2DF43F09">
      <w:pPr>
        <w:spacing w:line="560" w:lineRule="exact"/>
        <w:ind w:firstLine="518" w:firstLineChars="200"/>
        <w:jc w:val="lef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8. 标段（包别）划分：本项目共分为1个标包。</w:t>
      </w:r>
    </w:p>
    <w:p w14:paraId="4AFE8EBA">
      <w:pPr>
        <w:spacing w:line="560" w:lineRule="exact"/>
        <w:ind w:firstLine="518" w:firstLineChars="200"/>
        <w:jc w:val="lef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9. 采购需求：本项目为中国科学技术大学本部校园导视标牌设计及安装项目，实施范围为学校东区、中区、西区、南区、北区及采购人指定地点。项目包含道路指引牌、地上楼栋信息牌、墙上楼栋信息牌、校园总览地图、地下车库入口标识牌等多类型校园导视标识系统的整体更新。工作内容含方案深化设计、旧标牌拆除、成品标牌制作、现场安装（含高空作业）、辅材配套、垃圾清运、成品保护、调试、验收、质保维保等全部工作。供应商须结合校园建筑风貌、科研教学场景，统一规范标识字体、色彩、版式，完善中英文导视信息，兼顾日间识别与夜间可视效果，按采购人要求完成全部点位标牌更新改造。详见采购需求及附件。</w:t>
      </w:r>
    </w:p>
    <w:p w14:paraId="1696C19E">
      <w:pPr>
        <w:pStyle w:val="3"/>
        <w:widowControl/>
        <w:adjustRightInd w:val="0"/>
        <w:snapToGrid w:val="0"/>
        <w:spacing w:line="560" w:lineRule="exact"/>
        <w:ind w:firstLine="518" w:firstLineChars="200"/>
        <w:rPr>
          <w:rStyle w:val="35"/>
          <w:rFonts w:hint="eastAsia" w:ascii="仿宋" w:hAnsi="仿宋" w:eastAsia="仿宋" w:cs="仿宋"/>
          <w:b w:val="0"/>
          <w:bCs w:val="0"/>
          <w:color w:val="auto"/>
          <w:sz w:val="28"/>
          <w:szCs w:val="28"/>
          <w:highlight w:val="none"/>
        </w:rPr>
      </w:pPr>
      <w:r>
        <w:rPr>
          <w:rStyle w:val="35"/>
          <w:rFonts w:hint="eastAsia" w:ascii="仿宋" w:hAnsi="仿宋" w:eastAsia="仿宋" w:cs="仿宋"/>
          <w:b w:val="0"/>
          <w:bCs w:val="0"/>
          <w:color w:val="auto"/>
          <w:sz w:val="28"/>
          <w:szCs w:val="28"/>
          <w:highlight w:val="none"/>
        </w:rPr>
        <w:t>二、供应商资格要求</w:t>
      </w:r>
    </w:p>
    <w:p w14:paraId="10834F7A">
      <w:pPr>
        <w:widowControl/>
        <w:spacing w:line="560" w:lineRule="exact"/>
        <w:ind w:firstLine="518"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 供应商须具备以下资格：</w:t>
      </w:r>
    </w:p>
    <w:p w14:paraId="3ED6B856">
      <w:pPr>
        <w:widowControl/>
        <w:spacing w:line="560" w:lineRule="exact"/>
        <w:ind w:firstLine="518"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（1）具有独立承担民事责任的能力，提供有效的营业执照</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分公司参与响应的，须提供总公司出具的有效授权</w:t>
      </w:r>
      <w:r>
        <w:rPr>
          <w:rFonts w:hint="eastAsia" w:ascii="仿宋" w:hAnsi="仿宋" w:eastAsia="仿宋" w:cs="仿宋"/>
          <w:color w:val="auto"/>
          <w:sz w:val="28"/>
          <w:szCs w:val="28"/>
          <w:highlight w:val="none"/>
        </w:rPr>
        <w:t>；</w:t>
      </w:r>
    </w:p>
    <w:p w14:paraId="1BD1C51B">
      <w:pPr>
        <w:widowControl/>
        <w:spacing w:line="560" w:lineRule="exact"/>
        <w:ind w:firstLine="518"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（2）单位负责人为同一人或者存在直接控股、管理关系的不同供应商，不得参加同一合同项下的采购活动。</w:t>
      </w:r>
    </w:p>
    <w:p w14:paraId="48ABCB4D">
      <w:pPr>
        <w:widowControl/>
        <w:spacing w:line="560" w:lineRule="exact"/>
        <w:ind w:firstLine="518"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 供应商（含其不具有独立法人资格的分支机构）存在下列有效情形之一的，不得推荐为成交候选人，不得确定为成交人：</w:t>
      </w:r>
    </w:p>
    <w:p w14:paraId="077B1D3A">
      <w:pPr>
        <w:widowControl/>
        <w:spacing w:line="560" w:lineRule="exact"/>
        <w:ind w:firstLine="518"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（1）被人民法院列入失信被执行人的；</w:t>
      </w:r>
    </w:p>
    <w:p w14:paraId="2CD5D414">
      <w:pPr>
        <w:widowControl/>
        <w:spacing w:line="560" w:lineRule="exact"/>
        <w:ind w:firstLine="518"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（2）被工商行政管理部门（或市场监督管理部门）列入经营异常名录或严重违法失信企业名单的；</w:t>
      </w:r>
    </w:p>
    <w:p w14:paraId="511D7031">
      <w:pPr>
        <w:widowControl/>
        <w:spacing w:line="560" w:lineRule="exact"/>
        <w:ind w:firstLine="518"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（3）被税务部门列入重大税收违法案件当事人名单的；</w:t>
      </w:r>
    </w:p>
    <w:p w14:paraId="58CC1FE4">
      <w:pPr>
        <w:widowControl/>
        <w:spacing w:line="560" w:lineRule="exact"/>
        <w:ind w:firstLine="518"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（4）被财政部门列入政府采购严重违法失信名单的。</w:t>
      </w:r>
    </w:p>
    <w:p w14:paraId="0BBED882">
      <w:pPr>
        <w:widowControl/>
        <w:spacing w:line="560" w:lineRule="exact"/>
        <w:ind w:firstLine="518"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 本项目不接受联合体磋商。</w:t>
      </w:r>
    </w:p>
    <w:p w14:paraId="5E1040B6">
      <w:pPr>
        <w:pStyle w:val="3"/>
        <w:widowControl/>
        <w:adjustRightInd w:val="0"/>
        <w:snapToGrid w:val="0"/>
        <w:spacing w:line="560" w:lineRule="exact"/>
        <w:ind w:firstLine="518" w:firstLineChars="200"/>
        <w:rPr>
          <w:rStyle w:val="35"/>
          <w:rFonts w:hint="eastAsia" w:ascii="仿宋" w:hAnsi="仿宋" w:eastAsia="仿宋" w:cs="仿宋"/>
          <w:b w:val="0"/>
          <w:bCs w:val="0"/>
          <w:color w:val="auto"/>
          <w:sz w:val="28"/>
          <w:szCs w:val="28"/>
          <w:highlight w:val="none"/>
        </w:rPr>
      </w:pPr>
      <w:r>
        <w:rPr>
          <w:rStyle w:val="35"/>
          <w:rFonts w:hint="eastAsia" w:ascii="仿宋" w:hAnsi="仿宋" w:eastAsia="仿宋" w:cs="仿宋"/>
          <w:b w:val="0"/>
          <w:bCs w:val="0"/>
          <w:color w:val="auto"/>
          <w:sz w:val="28"/>
          <w:szCs w:val="28"/>
          <w:highlight w:val="none"/>
        </w:rPr>
        <w:t>三、磋商文件的获取</w:t>
      </w:r>
    </w:p>
    <w:p w14:paraId="7E0017EC">
      <w:pPr>
        <w:widowControl/>
        <w:spacing w:line="560" w:lineRule="exact"/>
        <w:ind w:firstLine="518"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 获取时限：2026年</w:t>
      </w:r>
      <w:r>
        <w:rPr>
          <w:rFonts w:hint="eastAsia" w:ascii="仿宋" w:hAnsi="仿宋" w:eastAsia="仿宋" w:cs="仿宋"/>
          <w:color w:val="auto"/>
          <w:kern w:val="0"/>
          <w:sz w:val="28"/>
          <w:szCs w:val="28"/>
          <w:highlight w:val="none"/>
          <w:lang w:val="en-US" w:eastAsia="zh-CN"/>
        </w:rPr>
        <w:t>10</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26</w:t>
      </w:r>
      <w:r>
        <w:rPr>
          <w:rFonts w:hint="eastAsia" w:ascii="仿宋" w:hAnsi="仿宋" w:eastAsia="仿宋" w:cs="仿宋"/>
          <w:color w:val="auto"/>
          <w:kern w:val="0"/>
          <w:sz w:val="28"/>
          <w:szCs w:val="28"/>
          <w:highlight w:val="none"/>
        </w:rPr>
        <w:t>日至2026年</w:t>
      </w:r>
      <w:r>
        <w:rPr>
          <w:rFonts w:hint="eastAsia" w:ascii="仿宋" w:hAnsi="仿宋" w:eastAsia="仿宋" w:cs="仿宋"/>
          <w:color w:val="auto"/>
          <w:kern w:val="0"/>
          <w:sz w:val="28"/>
          <w:szCs w:val="28"/>
          <w:highlight w:val="none"/>
          <w:lang w:val="en-US" w:eastAsia="zh-CN"/>
        </w:rPr>
        <w:t>11</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1</w:t>
      </w:r>
      <w:r>
        <w:rPr>
          <w:rFonts w:hint="eastAsia" w:ascii="仿宋" w:hAnsi="仿宋" w:eastAsia="仿宋" w:cs="仿宋"/>
          <w:color w:val="auto"/>
          <w:kern w:val="0"/>
          <w:sz w:val="28"/>
          <w:szCs w:val="28"/>
          <w:highlight w:val="none"/>
        </w:rPr>
        <w:t>日。</w:t>
      </w:r>
    </w:p>
    <w:p w14:paraId="6844C58B">
      <w:pPr>
        <w:widowControl/>
        <w:spacing w:line="560" w:lineRule="exact"/>
        <w:ind w:firstLine="518"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 获取方式：登录</w:t>
      </w:r>
      <w:r>
        <w:rPr>
          <w:rFonts w:hint="eastAsia" w:ascii="仿宋" w:hAnsi="仿宋" w:eastAsia="仿宋" w:cs="仿宋"/>
          <w:color w:val="auto"/>
          <w:kern w:val="0"/>
          <w:sz w:val="28"/>
          <w:szCs w:val="28"/>
          <w:highlight w:val="none"/>
        </w:rPr>
        <w:fldChar w:fldCharType="begin"/>
      </w:r>
      <w:r>
        <w:rPr>
          <w:rFonts w:hint="eastAsia" w:ascii="仿宋" w:hAnsi="仿宋" w:eastAsia="仿宋" w:cs="仿宋"/>
          <w:color w:val="auto"/>
          <w:kern w:val="0"/>
          <w:sz w:val="28"/>
          <w:szCs w:val="28"/>
          <w:highlight w:val="none"/>
        </w:rPr>
        <w:instrText xml:space="preserve"> HYPERLINK "https://bwc.ustc.edu.cn/" </w:instrText>
      </w:r>
      <w:r>
        <w:rPr>
          <w:rFonts w:hint="eastAsia" w:ascii="仿宋" w:hAnsi="仿宋" w:eastAsia="仿宋" w:cs="仿宋"/>
          <w:color w:val="auto"/>
          <w:kern w:val="0"/>
          <w:sz w:val="28"/>
          <w:szCs w:val="28"/>
          <w:highlight w:val="none"/>
        </w:rPr>
        <w:fldChar w:fldCharType="separate"/>
      </w:r>
      <w:r>
        <w:rPr>
          <w:rFonts w:hint="eastAsia" w:ascii="仿宋" w:hAnsi="仿宋" w:eastAsia="仿宋" w:cs="仿宋"/>
          <w:color w:val="auto"/>
          <w:kern w:val="0"/>
          <w:sz w:val="28"/>
          <w:szCs w:val="28"/>
          <w:highlight w:val="none"/>
          <w:lang w:eastAsia="zh-CN"/>
        </w:rPr>
        <w:t>https://bwc.ustc.edu.cn/</w:t>
      </w:r>
      <w:r>
        <w:rPr>
          <w:rFonts w:hint="eastAsia" w:ascii="仿宋" w:hAnsi="仿宋" w:eastAsia="仿宋" w:cs="仿宋"/>
          <w:color w:val="auto"/>
          <w:kern w:val="0"/>
          <w:sz w:val="28"/>
          <w:szCs w:val="28"/>
          <w:highlight w:val="none"/>
          <w:lang w:eastAsia="zh-CN"/>
        </w:rPr>
        <w:fldChar w:fldCharType="end"/>
      </w:r>
      <w:r>
        <w:rPr>
          <w:rFonts w:hint="eastAsia" w:ascii="仿宋" w:hAnsi="仿宋" w:eastAsia="仿宋" w:cs="仿宋"/>
          <w:color w:val="auto"/>
          <w:kern w:val="0"/>
          <w:sz w:val="28"/>
          <w:szCs w:val="28"/>
          <w:highlight w:val="none"/>
        </w:rPr>
        <w:t>,在 “通知</w:t>
      </w:r>
      <w:r>
        <w:rPr>
          <w:rFonts w:hint="eastAsia" w:ascii="仿宋" w:hAnsi="仿宋" w:eastAsia="仿宋" w:cs="仿宋"/>
          <w:color w:val="auto"/>
          <w:kern w:val="0"/>
          <w:sz w:val="28"/>
          <w:szCs w:val="28"/>
          <w:highlight w:val="none"/>
          <w:lang w:val="en-US" w:eastAsia="zh-CN"/>
        </w:rPr>
        <w:t>公告</w:t>
      </w:r>
      <w:r>
        <w:rPr>
          <w:rFonts w:hint="eastAsia" w:ascii="仿宋" w:hAnsi="仿宋" w:eastAsia="仿宋" w:cs="仿宋"/>
          <w:color w:val="auto"/>
          <w:kern w:val="0"/>
          <w:sz w:val="28"/>
          <w:szCs w:val="28"/>
          <w:highlight w:val="none"/>
        </w:rPr>
        <w:t>”中下载。</w:t>
      </w:r>
    </w:p>
    <w:p w14:paraId="261443A3">
      <w:pPr>
        <w:pStyle w:val="3"/>
        <w:widowControl/>
        <w:adjustRightInd w:val="0"/>
        <w:snapToGrid w:val="0"/>
        <w:spacing w:line="560" w:lineRule="exact"/>
        <w:ind w:firstLine="518" w:firstLineChars="200"/>
        <w:rPr>
          <w:rStyle w:val="35"/>
          <w:rFonts w:hint="eastAsia" w:ascii="仿宋" w:hAnsi="仿宋" w:eastAsia="仿宋" w:cs="仿宋"/>
          <w:b w:val="0"/>
          <w:bCs w:val="0"/>
          <w:color w:val="auto"/>
          <w:sz w:val="28"/>
          <w:szCs w:val="28"/>
          <w:highlight w:val="none"/>
        </w:rPr>
      </w:pPr>
      <w:r>
        <w:rPr>
          <w:rStyle w:val="35"/>
          <w:rFonts w:hint="eastAsia" w:ascii="仿宋" w:hAnsi="仿宋" w:eastAsia="仿宋" w:cs="仿宋"/>
          <w:b w:val="0"/>
          <w:bCs w:val="0"/>
          <w:color w:val="auto"/>
          <w:sz w:val="28"/>
          <w:szCs w:val="28"/>
          <w:highlight w:val="none"/>
        </w:rPr>
        <w:t>四、响应文件开启时间及地点</w:t>
      </w:r>
    </w:p>
    <w:p w14:paraId="1B1D4765">
      <w:pPr>
        <w:widowControl/>
        <w:tabs>
          <w:tab w:val="left" w:pos="360"/>
        </w:tabs>
        <w:spacing w:line="560" w:lineRule="exact"/>
        <w:ind w:firstLine="518"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1.响应文件</w:t>
      </w:r>
      <w:r>
        <w:rPr>
          <w:rFonts w:hint="eastAsia" w:ascii="仿宋" w:hAnsi="仿宋" w:eastAsia="仿宋" w:cs="仿宋"/>
          <w:color w:val="auto"/>
          <w:sz w:val="28"/>
          <w:szCs w:val="28"/>
          <w:highlight w:val="none"/>
          <w:lang w:val="en-US" w:eastAsia="zh-CN"/>
        </w:rPr>
        <w:t>提交截止</w:t>
      </w:r>
      <w:r>
        <w:rPr>
          <w:rFonts w:hint="eastAsia" w:ascii="仿宋" w:hAnsi="仿宋" w:eastAsia="仿宋" w:cs="仿宋"/>
          <w:color w:val="auto"/>
          <w:sz w:val="28"/>
          <w:szCs w:val="28"/>
          <w:highlight w:val="none"/>
        </w:rPr>
        <w:t>时间：</w:t>
      </w:r>
      <w:r>
        <w:rPr>
          <w:rFonts w:hint="eastAsia" w:ascii="仿宋" w:hAnsi="仿宋" w:eastAsia="仿宋" w:cs="仿宋"/>
          <w:color w:val="auto"/>
          <w:sz w:val="28"/>
          <w:szCs w:val="28"/>
          <w:highlight w:val="none"/>
          <w:lang w:val="en-US" w:eastAsia="zh-CN"/>
        </w:rPr>
        <w:t>北京时间</w:t>
      </w:r>
      <w:r>
        <w:rPr>
          <w:rFonts w:hint="eastAsia" w:ascii="仿宋" w:hAnsi="仿宋" w:eastAsia="仿宋" w:cs="仿宋"/>
          <w:color w:val="auto"/>
          <w:kern w:val="0"/>
          <w:sz w:val="28"/>
          <w:szCs w:val="28"/>
          <w:highlight w:val="none"/>
        </w:rPr>
        <w:t>2026年</w:t>
      </w:r>
      <w:r>
        <w:rPr>
          <w:rFonts w:hint="eastAsia" w:ascii="仿宋" w:hAnsi="仿宋" w:eastAsia="仿宋" w:cs="仿宋"/>
          <w:color w:val="auto"/>
          <w:kern w:val="0"/>
          <w:sz w:val="28"/>
          <w:szCs w:val="28"/>
          <w:highlight w:val="none"/>
          <w:lang w:val="en-US" w:eastAsia="zh-CN"/>
        </w:rPr>
        <w:t>11</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1</w:t>
      </w: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9</w:t>
      </w:r>
      <w:r>
        <w:rPr>
          <w:rFonts w:hint="eastAsia" w:ascii="仿宋" w:hAnsi="仿宋" w:eastAsia="仿宋" w:cs="仿宋"/>
          <w:color w:val="auto"/>
          <w:kern w:val="0"/>
          <w:sz w:val="28"/>
          <w:szCs w:val="28"/>
          <w:highlight w:val="none"/>
        </w:rPr>
        <w:t>时</w:t>
      </w:r>
      <w:r>
        <w:rPr>
          <w:rFonts w:hint="eastAsia" w:ascii="仿宋" w:hAnsi="仿宋" w:eastAsia="仿宋" w:cs="仿宋"/>
          <w:color w:val="auto"/>
          <w:sz w:val="28"/>
          <w:szCs w:val="28"/>
          <w:highlight w:val="none"/>
        </w:rPr>
        <w:t>。</w:t>
      </w:r>
    </w:p>
    <w:p w14:paraId="60362A7D">
      <w:pPr>
        <w:widowControl/>
        <w:tabs>
          <w:tab w:val="left" w:pos="360"/>
        </w:tabs>
        <w:spacing w:line="560" w:lineRule="exact"/>
        <w:ind w:firstLine="518"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2.响应文件提交地点：中国科学技术大学东区师生服务中心409办公室。</w:t>
      </w:r>
    </w:p>
    <w:p w14:paraId="7CA61820">
      <w:pPr>
        <w:widowControl/>
        <w:tabs>
          <w:tab w:val="left" w:pos="360"/>
        </w:tabs>
        <w:spacing w:line="560" w:lineRule="exact"/>
        <w:ind w:firstLine="518"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3.响应文件开启时间：北京时间</w:t>
      </w:r>
      <w:r>
        <w:rPr>
          <w:rFonts w:hint="eastAsia" w:ascii="仿宋" w:hAnsi="仿宋" w:eastAsia="仿宋" w:cs="仿宋"/>
          <w:color w:val="auto"/>
          <w:kern w:val="0"/>
          <w:sz w:val="28"/>
          <w:szCs w:val="28"/>
          <w:highlight w:val="none"/>
        </w:rPr>
        <w:t>2026年</w:t>
      </w:r>
      <w:r>
        <w:rPr>
          <w:rFonts w:hint="eastAsia" w:ascii="仿宋" w:hAnsi="仿宋" w:eastAsia="仿宋" w:cs="仿宋"/>
          <w:color w:val="auto"/>
          <w:kern w:val="0"/>
          <w:sz w:val="28"/>
          <w:szCs w:val="28"/>
          <w:highlight w:val="none"/>
          <w:lang w:val="en-US" w:eastAsia="zh-CN"/>
        </w:rPr>
        <w:t>11</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1</w:t>
      </w:r>
      <w:r>
        <w:rPr>
          <w:rFonts w:hint="eastAsia" w:ascii="仿宋" w:hAnsi="仿宋" w:eastAsia="仿宋" w:cs="仿宋"/>
          <w:color w:val="auto"/>
          <w:kern w:val="0"/>
          <w:sz w:val="28"/>
          <w:szCs w:val="28"/>
          <w:highlight w:val="none"/>
        </w:rPr>
        <w:t>日</w:t>
      </w:r>
      <w:r>
        <w:rPr>
          <w:rFonts w:hint="eastAsia" w:ascii="仿宋" w:hAnsi="仿宋" w:eastAsia="仿宋" w:cs="仿宋"/>
          <w:color w:val="auto"/>
          <w:kern w:val="0"/>
          <w:sz w:val="28"/>
          <w:szCs w:val="28"/>
          <w:highlight w:val="none"/>
          <w:lang w:val="en-US" w:eastAsia="zh-CN"/>
        </w:rPr>
        <w:t>9</w:t>
      </w:r>
      <w:r>
        <w:rPr>
          <w:rFonts w:hint="eastAsia" w:ascii="仿宋" w:hAnsi="仿宋" w:eastAsia="仿宋" w:cs="仿宋"/>
          <w:color w:val="auto"/>
          <w:kern w:val="0"/>
          <w:sz w:val="28"/>
          <w:szCs w:val="28"/>
          <w:highlight w:val="none"/>
        </w:rPr>
        <w:t>时</w:t>
      </w:r>
      <w:r>
        <w:rPr>
          <w:rFonts w:hint="eastAsia" w:ascii="仿宋" w:hAnsi="仿宋" w:eastAsia="仿宋" w:cs="仿宋"/>
          <w:color w:val="auto"/>
          <w:kern w:val="0"/>
          <w:sz w:val="28"/>
          <w:szCs w:val="28"/>
          <w:highlight w:val="none"/>
          <w:lang w:val="en-US" w:eastAsia="zh-CN"/>
        </w:rPr>
        <w:t>30分</w:t>
      </w:r>
      <w:r>
        <w:rPr>
          <w:rFonts w:hint="eastAsia" w:ascii="仿宋" w:hAnsi="仿宋" w:eastAsia="仿宋" w:cs="仿宋"/>
          <w:color w:val="auto"/>
          <w:sz w:val="28"/>
          <w:szCs w:val="28"/>
          <w:highlight w:val="none"/>
        </w:rPr>
        <w:t>。</w:t>
      </w:r>
    </w:p>
    <w:p w14:paraId="4DFCFAC8">
      <w:pPr>
        <w:widowControl/>
        <w:tabs>
          <w:tab w:val="left" w:pos="360"/>
        </w:tabs>
        <w:spacing w:line="560" w:lineRule="exact"/>
        <w:ind w:firstLine="518"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响应文件开启地点：中国科学技术大学东区学生服务中心408会议室。</w:t>
      </w:r>
    </w:p>
    <w:p w14:paraId="29AFD517">
      <w:pPr>
        <w:pStyle w:val="3"/>
        <w:widowControl/>
        <w:adjustRightInd w:val="0"/>
        <w:snapToGrid w:val="0"/>
        <w:spacing w:line="560" w:lineRule="exact"/>
        <w:ind w:firstLine="518" w:firstLineChars="200"/>
        <w:rPr>
          <w:rStyle w:val="35"/>
          <w:rFonts w:hint="eastAsia" w:ascii="仿宋" w:hAnsi="仿宋" w:eastAsia="仿宋" w:cs="仿宋"/>
          <w:b w:val="0"/>
          <w:bCs w:val="0"/>
          <w:color w:val="auto"/>
          <w:sz w:val="28"/>
          <w:szCs w:val="28"/>
          <w:highlight w:val="none"/>
        </w:rPr>
      </w:pPr>
      <w:r>
        <w:rPr>
          <w:rStyle w:val="35"/>
          <w:rFonts w:hint="eastAsia" w:ascii="仿宋" w:hAnsi="仿宋" w:eastAsia="仿宋" w:cs="仿宋"/>
          <w:b w:val="0"/>
          <w:bCs w:val="0"/>
          <w:color w:val="auto"/>
          <w:sz w:val="28"/>
          <w:szCs w:val="28"/>
          <w:highlight w:val="none"/>
        </w:rPr>
        <w:t>五、响应文件的</w:t>
      </w:r>
      <w:r>
        <w:rPr>
          <w:rStyle w:val="35"/>
          <w:rFonts w:hint="eastAsia" w:ascii="仿宋" w:hAnsi="仿宋" w:eastAsia="仿宋" w:cs="仿宋"/>
          <w:b w:val="0"/>
          <w:bCs w:val="0"/>
          <w:color w:val="auto"/>
          <w:sz w:val="28"/>
          <w:szCs w:val="28"/>
          <w:highlight w:val="none"/>
          <w:lang w:val="en-US"/>
        </w:rPr>
        <w:t>要求</w:t>
      </w:r>
    </w:p>
    <w:p w14:paraId="2744F088">
      <w:pPr>
        <w:widowControl/>
        <w:tabs>
          <w:tab w:val="left" w:pos="360"/>
        </w:tabs>
        <w:spacing w:line="560" w:lineRule="exact"/>
        <w:ind w:firstLine="518" w:firstLineChars="200"/>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rPr>
        <w:t>响应文件密封提交，格式见附件，随响应文件一并</w:t>
      </w:r>
      <w:r>
        <w:rPr>
          <w:rFonts w:hint="eastAsia" w:ascii="仿宋" w:hAnsi="仿宋" w:eastAsia="仿宋" w:cs="仿宋"/>
          <w:color w:val="auto"/>
          <w:kern w:val="0"/>
          <w:sz w:val="28"/>
          <w:szCs w:val="28"/>
          <w:highlight w:val="none"/>
          <w:lang w:val="en-US" w:eastAsia="zh-CN"/>
        </w:rPr>
        <w:t>密封</w:t>
      </w:r>
      <w:r>
        <w:rPr>
          <w:rFonts w:hint="eastAsia" w:ascii="仿宋" w:hAnsi="仿宋" w:eastAsia="仿宋" w:cs="仿宋"/>
          <w:color w:val="auto"/>
          <w:kern w:val="0"/>
          <w:sz w:val="28"/>
          <w:szCs w:val="28"/>
          <w:highlight w:val="none"/>
        </w:rPr>
        <w:t>递交初步设计方案、参考案例、响应标牌材质小样。</w:t>
      </w:r>
    </w:p>
    <w:p w14:paraId="517A33E3">
      <w:pPr>
        <w:pStyle w:val="3"/>
        <w:widowControl/>
        <w:adjustRightInd w:val="0"/>
        <w:snapToGrid w:val="0"/>
        <w:spacing w:line="560" w:lineRule="exact"/>
        <w:ind w:firstLine="518" w:firstLineChars="200"/>
        <w:rPr>
          <w:rStyle w:val="35"/>
          <w:rFonts w:hint="eastAsia" w:ascii="仿宋" w:hAnsi="仿宋" w:eastAsia="仿宋" w:cs="仿宋"/>
          <w:b w:val="0"/>
          <w:bCs w:val="0"/>
          <w:color w:val="auto"/>
          <w:sz w:val="28"/>
          <w:szCs w:val="28"/>
          <w:highlight w:val="none"/>
        </w:rPr>
      </w:pPr>
      <w:r>
        <w:rPr>
          <w:rStyle w:val="35"/>
          <w:rFonts w:hint="eastAsia" w:ascii="仿宋" w:hAnsi="仿宋" w:eastAsia="仿宋" w:cs="仿宋"/>
          <w:b w:val="0"/>
          <w:bCs w:val="0"/>
          <w:color w:val="auto"/>
          <w:sz w:val="28"/>
          <w:szCs w:val="28"/>
          <w:highlight w:val="none"/>
        </w:rPr>
        <w:t>六、联系方式</w:t>
      </w:r>
    </w:p>
    <w:p w14:paraId="3A812A8E">
      <w:pPr>
        <w:widowControl/>
        <w:topLinePunct/>
        <w:spacing w:line="560" w:lineRule="exact"/>
        <w:ind w:firstLine="518"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采购人</w:t>
      </w:r>
      <w:r>
        <w:rPr>
          <w:rFonts w:hint="eastAsia" w:ascii="仿宋" w:hAnsi="仿宋" w:eastAsia="仿宋" w:cs="仿宋"/>
          <w:color w:val="auto"/>
          <w:sz w:val="28"/>
          <w:szCs w:val="28"/>
          <w:highlight w:val="none"/>
        </w:rPr>
        <w:t>：中国科学技术大学</w:t>
      </w:r>
    </w:p>
    <w:p w14:paraId="7F523348">
      <w:pPr>
        <w:widowControl/>
        <w:topLinePunct/>
        <w:spacing w:line="560" w:lineRule="exact"/>
        <w:ind w:firstLine="518"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地址：合肥市金寨路96号</w:t>
      </w:r>
    </w:p>
    <w:p w14:paraId="25E13399">
      <w:pPr>
        <w:widowControl/>
        <w:topLinePunct/>
        <w:spacing w:line="560" w:lineRule="exact"/>
        <w:ind w:firstLine="518"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联系方式：</w:t>
      </w:r>
      <w:r>
        <w:rPr>
          <w:rFonts w:hint="eastAsia" w:ascii="仿宋" w:hAnsi="仿宋" w:eastAsia="仿宋" w:cs="仿宋"/>
          <w:color w:val="auto"/>
          <w:sz w:val="28"/>
          <w:szCs w:val="28"/>
          <w:highlight w:val="none"/>
          <w:lang w:val="en-US" w:eastAsia="zh-CN"/>
        </w:rPr>
        <w:t>汪</w:t>
      </w:r>
      <w:r>
        <w:rPr>
          <w:rFonts w:hint="eastAsia" w:ascii="仿宋" w:hAnsi="仿宋" w:eastAsia="仿宋" w:cs="仿宋"/>
          <w:color w:val="auto"/>
          <w:sz w:val="28"/>
          <w:szCs w:val="28"/>
          <w:highlight w:val="none"/>
        </w:rPr>
        <w:t>老师0551</w:t>
      </w:r>
      <w:r>
        <w:rPr>
          <w:rFonts w:hint="eastAsia" w:ascii="仿宋" w:hAnsi="仿宋" w:eastAsia="仿宋" w:cs="仿宋"/>
          <w:color w:val="auto"/>
          <w:sz w:val="28"/>
          <w:szCs w:val="28"/>
          <w:highlight w:val="none"/>
          <w:lang w:val="en-US" w:eastAsia="zh-CN"/>
        </w:rPr>
        <w:t>-63603159。如需进校踏勘，请提前联系报备进校。</w:t>
      </w:r>
    </w:p>
    <w:p w14:paraId="6E9EF60B">
      <w:pPr>
        <w:spacing w:line="560" w:lineRule="exact"/>
        <w:ind w:firstLine="438" w:firstLineChars="200"/>
        <w:jc w:val="left"/>
        <w:rPr>
          <w:rFonts w:hint="eastAsia" w:ascii="仿宋" w:hAnsi="仿宋" w:eastAsia="仿宋" w:cs="仿宋"/>
          <w:sz w:val="24"/>
          <w:szCs w:val="28"/>
          <w:lang w:val="en-US" w:eastAsia="zh-CN"/>
        </w:rPr>
      </w:pPr>
      <w:r>
        <w:rPr>
          <w:rFonts w:hint="eastAsia" w:ascii="仿宋" w:hAnsi="仿宋" w:eastAsia="仿宋" w:cs="仿宋"/>
          <w:sz w:val="24"/>
          <w:szCs w:val="28"/>
          <w:lang w:val="en-US" w:eastAsia="zh-CN"/>
        </w:rPr>
        <w:br w:type="page"/>
      </w:r>
    </w:p>
    <w:p w14:paraId="50DA1A21">
      <w:pPr>
        <w:pStyle w:val="2"/>
        <w:widowControl/>
        <w:spacing w:line="240" w:lineRule="auto"/>
        <w:jc w:val="center"/>
        <w:rPr>
          <w:rFonts w:hint="eastAsia" w:ascii="仿宋" w:hAnsi="仿宋" w:eastAsia="仿宋" w:cs="仿宋"/>
          <w:color w:val="auto"/>
          <w:highlight w:val="none"/>
        </w:rPr>
      </w:pPr>
      <w:bookmarkStart w:id="8" w:name="_Toc779"/>
      <w:r>
        <w:rPr>
          <w:rFonts w:hint="eastAsia" w:ascii="仿宋" w:hAnsi="仿宋" w:eastAsia="仿宋" w:cs="仿宋"/>
          <w:color w:val="auto"/>
          <w:highlight w:val="none"/>
        </w:rPr>
        <w:t>第二章  供应商须知</w:t>
      </w:r>
      <w:bookmarkEnd w:id="8"/>
    </w:p>
    <w:p w14:paraId="34A4035E">
      <w:pPr>
        <w:pStyle w:val="3"/>
        <w:widowControl/>
        <w:spacing w:before="120" w:after="120" w:line="240" w:lineRule="auto"/>
        <w:jc w:val="center"/>
        <w:rPr>
          <w:rStyle w:val="35"/>
          <w:rFonts w:hint="eastAsia" w:ascii="仿宋" w:hAnsi="仿宋" w:eastAsia="仿宋" w:cs="仿宋"/>
          <w:b w:val="0"/>
          <w:bCs/>
          <w:color w:val="auto"/>
          <w:sz w:val="30"/>
          <w:szCs w:val="30"/>
          <w:highlight w:val="none"/>
        </w:rPr>
      </w:pPr>
      <w:bookmarkStart w:id="9" w:name="_Toc445554686"/>
      <w:bookmarkStart w:id="10" w:name="_Toc466024498"/>
      <w:r>
        <w:rPr>
          <w:rStyle w:val="35"/>
          <w:rFonts w:hint="eastAsia" w:ascii="仿宋" w:hAnsi="仿宋" w:eastAsia="仿宋" w:cs="仿宋"/>
          <w:b w:val="0"/>
          <w:bCs/>
          <w:color w:val="auto"/>
          <w:sz w:val="30"/>
          <w:szCs w:val="30"/>
          <w:highlight w:val="none"/>
        </w:rPr>
        <w:t>供应商须知前附表</w:t>
      </w:r>
      <w:bookmarkEnd w:id="9"/>
      <w:bookmarkEnd w:id="10"/>
    </w:p>
    <w:bookmarkEnd w:id="5"/>
    <w:bookmarkEnd w:id="6"/>
    <w:bookmarkEnd w:id="7"/>
    <w:tbl>
      <w:tblPr>
        <w:tblStyle w:val="19"/>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900"/>
        <w:gridCol w:w="6747"/>
      </w:tblGrid>
      <w:tr w14:paraId="7BCE6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09" w:type="dxa"/>
            <w:noWrap w:val="0"/>
            <w:vAlign w:val="center"/>
          </w:tcPr>
          <w:p w14:paraId="30DCB6CD">
            <w:pPr>
              <w:keepNext w:val="0"/>
              <w:keepLines w:val="0"/>
              <w:suppressLineNumbers w:val="0"/>
              <w:spacing w:before="0" w:beforeAutospacing="0" w:after="0" w:afterAutospacing="0"/>
              <w:ind w:left="0" w:right="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序号</w:t>
            </w:r>
          </w:p>
        </w:tc>
        <w:tc>
          <w:tcPr>
            <w:tcW w:w="1900" w:type="dxa"/>
            <w:noWrap w:val="0"/>
            <w:vAlign w:val="center"/>
          </w:tcPr>
          <w:p w14:paraId="08A5979C">
            <w:pPr>
              <w:keepNext w:val="0"/>
              <w:keepLines w:val="0"/>
              <w:suppressLineNumbers w:val="0"/>
              <w:spacing w:before="0" w:beforeAutospacing="0" w:after="0" w:afterAutospacing="0"/>
              <w:ind w:left="0" w:right="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条款名称</w:t>
            </w:r>
          </w:p>
        </w:tc>
        <w:tc>
          <w:tcPr>
            <w:tcW w:w="6747" w:type="dxa"/>
            <w:noWrap w:val="0"/>
            <w:vAlign w:val="center"/>
          </w:tcPr>
          <w:p w14:paraId="48759217">
            <w:pPr>
              <w:pStyle w:val="27"/>
              <w:keepNext w:val="0"/>
              <w:keepLines w:val="0"/>
              <w:widowControl w:val="0"/>
              <w:suppressLineNumbers w:val="0"/>
              <w:spacing w:before="0" w:beforeAutospacing="0" w:after="0" w:afterAutospacing="0"/>
              <w:ind w:left="0" w:right="0"/>
              <w:rPr>
                <w:rFonts w:hint="eastAsia" w:ascii="仿宋" w:hAnsi="仿宋" w:eastAsia="仿宋" w:cs="仿宋"/>
                <w:bCs w:val="0"/>
                <w:color w:val="000000"/>
                <w:kern w:val="2"/>
                <w:sz w:val="24"/>
                <w:szCs w:val="24"/>
              </w:rPr>
            </w:pPr>
            <w:r>
              <w:rPr>
                <w:rFonts w:hint="eastAsia" w:ascii="仿宋" w:hAnsi="仿宋" w:eastAsia="仿宋" w:cs="仿宋"/>
                <w:bCs w:val="0"/>
                <w:color w:val="000000"/>
                <w:kern w:val="2"/>
                <w:sz w:val="24"/>
                <w:szCs w:val="24"/>
              </w:rPr>
              <w:t>说明与要求</w:t>
            </w:r>
          </w:p>
        </w:tc>
      </w:tr>
      <w:tr w14:paraId="17447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709" w:type="dxa"/>
            <w:noWrap w:val="0"/>
            <w:vAlign w:val="center"/>
          </w:tcPr>
          <w:p w14:paraId="218CAB2A">
            <w:pPr>
              <w:keepNext w:val="0"/>
              <w:keepLines w:val="0"/>
              <w:numPr>
                <w:ilvl w:val="0"/>
                <w:numId w:val="1"/>
              </w:numPr>
              <w:suppressLineNumbers w:val="0"/>
              <w:spacing w:before="0" w:beforeAutospacing="0" w:after="0" w:afterAutospacing="0"/>
              <w:ind w:left="0" w:right="0" w:firstLine="0"/>
              <w:jc w:val="center"/>
              <w:rPr>
                <w:rFonts w:hint="eastAsia" w:ascii="仿宋" w:hAnsi="仿宋" w:eastAsia="仿宋" w:cs="仿宋"/>
                <w:bCs/>
                <w:color w:val="000000"/>
                <w:sz w:val="24"/>
                <w:szCs w:val="24"/>
              </w:rPr>
            </w:pPr>
          </w:p>
        </w:tc>
        <w:tc>
          <w:tcPr>
            <w:tcW w:w="1900" w:type="dxa"/>
            <w:noWrap w:val="0"/>
            <w:vAlign w:val="center"/>
          </w:tcPr>
          <w:p w14:paraId="7F9EE6E3">
            <w:pPr>
              <w:keepNext w:val="0"/>
              <w:keepLines w:val="0"/>
              <w:suppressLineNumbers w:val="0"/>
              <w:spacing w:before="0" w:beforeAutospacing="0" w:after="0" w:afterAutospacing="0"/>
              <w:ind w:left="0" w:right="0"/>
              <w:jc w:val="center"/>
              <w:rPr>
                <w:rFonts w:hint="eastAsia" w:ascii="仿宋" w:hAnsi="仿宋" w:eastAsia="仿宋" w:cs="仿宋"/>
                <w:bCs/>
                <w:color w:val="000000"/>
                <w:sz w:val="24"/>
                <w:szCs w:val="24"/>
              </w:rPr>
            </w:pPr>
            <w:r>
              <w:rPr>
                <w:rFonts w:hint="eastAsia" w:ascii="仿宋" w:hAnsi="仿宋" w:eastAsia="仿宋" w:cs="仿宋"/>
                <w:bCs/>
                <w:color w:val="000000"/>
                <w:sz w:val="24"/>
                <w:szCs w:val="24"/>
              </w:rPr>
              <w:t>采购人</w:t>
            </w:r>
          </w:p>
        </w:tc>
        <w:tc>
          <w:tcPr>
            <w:tcW w:w="6747" w:type="dxa"/>
            <w:noWrap w:val="0"/>
            <w:vAlign w:val="center"/>
          </w:tcPr>
          <w:p w14:paraId="625E9DDB">
            <w:pPr>
              <w:pStyle w:val="27"/>
              <w:keepNext w:val="0"/>
              <w:keepLines w:val="0"/>
              <w:widowControl w:val="0"/>
              <w:suppressLineNumbers w:val="0"/>
              <w:spacing w:before="0" w:beforeAutospacing="0" w:after="0" w:afterAutospacing="0"/>
              <w:ind w:left="0" w:right="0"/>
              <w:jc w:val="left"/>
              <w:rPr>
                <w:rFonts w:hint="eastAsia" w:ascii="仿宋" w:hAnsi="仿宋" w:eastAsia="仿宋" w:cs="仿宋"/>
                <w:b w:val="0"/>
                <w:bCs w:val="0"/>
                <w:color w:val="000000"/>
                <w:kern w:val="2"/>
                <w:sz w:val="24"/>
                <w:szCs w:val="24"/>
              </w:rPr>
            </w:pPr>
            <w:r>
              <w:rPr>
                <w:rFonts w:hint="eastAsia" w:ascii="仿宋" w:hAnsi="仿宋" w:eastAsia="仿宋" w:cs="仿宋"/>
                <w:b w:val="0"/>
                <w:bCs w:val="0"/>
                <w:color w:val="000000"/>
                <w:kern w:val="2"/>
                <w:sz w:val="24"/>
                <w:szCs w:val="24"/>
              </w:rPr>
              <w:t>中国科学技术大学</w:t>
            </w:r>
          </w:p>
        </w:tc>
      </w:tr>
      <w:tr w14:paraId="0416D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09" w:type="dxa"/>
            <w:noWrap w:val="0"/>
            <w:vAlign w:val="center"/>
          </w:tcPr>
          <w:p w14:paraId="2E81F650">
            <w:pPr>
              <w:keepNext w:val="0"/>
              <w:keepLines w:val="0"/>
              <w:numPr>
                <w:ilvl w:val="0"/>
                <w:numId w:val="1"/>
              </w:numPr>
              <w:suppressLineNumbers w:val="0"/>
              <w:spacing w:before="0" w:beforeAutospacing="0" w:after="0" w:afterAutospacing="0"/>
              <w:ind w:left="0" w:right="0" w:firstLine="0"/>
              <w:jc w:val="center"/>
              <w:rPr>
                <w:rFonts w:hint="eastAsia" w:ascii="仿宋" w:hAnsi="仿宋" w:eastAsia="仿宋" w:cs="仿宋"/>
                <w:bCs/>
                <w:color w:val="000000"/>
                <w:sz w:val="24"/>
                <w:szCs w:val="24"/>
                <w:highlight w:val="none"/>
              </w:rPr>
            </w:pPr>
          </w:p>
        </w:tc>
        <w:tc>
          <w:tcPr>
            <w:tcW w:w="1900" w:type="dxa"/>
            <w:noWrap w:val="0"/>
            <w:vAlign w:val="center"/>
          </w:tcPr>
          <w:p w14:paraId="26AA5CCC">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rPr>
            </w:pPr>
            <w:r>
              <w:rPr>
                <w:rFonts w:hint="eastAsia" w:ascii="仿宋" w:hAnsi="仿宋" w:eastAsia="仿宋" w:cs="仿宋"/>
                <w:color w:val="000000"/>
                <w:sz w:val="24"/>
                <w:szCs w:val="24"/>
              </w:rPr>
              <w:t>项目名称</w:t>
            </w:r>
          </w:p>
        </w:tc>
        <w:tc>
          <w:tcPr>
            <w:tcW w:w="6747" w:type="dxa"/>
            <w:noWrap w:val="0"/>
            <w:vAlign w:val="center"/>
          </w:tcPr>
          <w:p w14:paraId="31C80DBC">
            <w:pPr>
              <w:pStyle w:val="27"/>
              <w:keepNext w:val="0"/>
              <w:keepLines w:val="0"/>
              <w:widowControl w:val="0"/>
              <w:suppressLineNumbers w:val="0"/>
              <w:spacing w:before="0" w:beforeAutospacing="0" w:after="0" w:afterAutospacing="0"/>
              <w:ind w:left="0" w:right="0"/>
              <w:jc w:val="left"/>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中国科大本部校园导视标牌设计及安装项目</w:t>
            </w:r>
          </w:p>
        </w:tc>
      </w:tr>
      <w:tr w14:paraId="286F7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09" w:type="dxa"/>
            <w:noWrap w:val="0"/>
            <w:vAlign w:val="center"/>
          </w:tcPr>
          <w:p w14:paraId="4AD3C46C">
            <w:pPr>
              <w:keepNext w:val="0"/>
              <w:keepLines w:val="0"/>
              <w:numPr>
                <w:ilvl w:val="0"/>
                <w:numId w:val="1"/>
              </w:numPr>
              <w:suppressLineNumbers w:val="0"/>
              <w:spacing w:before="0" w:beforeAutospacing="0" w:after="0" w:afterAutospacing="0"/>
              <w:ind w:left="0" w:right="0" w:firstLine="0"/>
              <w:jc w:val="center"/>
              <w:rPr>
                <w:rFonts w:hint="eastAsia" w:ascii="仿宋" w:hAnsi="仿宋" w:eastAsia="仿宋" w:cs="仿宋"/>
                <w:bCs/>
                <w:color w:val="000000"/>
                <w:sz w:val="24"/>
                <w:szCs w:val="24"/>
                <w:highlight w:val="none"/>
              </w:rPr>
            </w:pPr>
          </w:p>
        </w:tc>
        <w:tc>
          <w:tcPr>
            <w:tcW w:w="1900" w:type="dxa"/>
            <w:noWrap w:val="0"/>
            <w:vAlign w:val="center"/>
          </w:tcPr>
          <w:p w14:paraId="3E0B0D65">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rPr>
            </w:pPr>
            <w:r>
              <w:rPr>
                <w:rFonts w:hint="eastAsia" w:ascii="仿宋" w:hAnsi="仿宋" w:eastAsia="仿宋" w:cs="仿宋"/>
                <w:color w:val="000000"/>
                <w:sz w:val="24"/>
                <w:szCs w:val="24"/>
              </w:rPr>
              <w:t>项目编号</w:t>
            </w:r>
          </w:p>
        </w:tc>
        <w:tc>
          <w:tcPr>
            <w:tcW w:w="6747" w:type="dxa"/>
            <w:noWrap w:val="0"/>
            <w:vAlign w:val="center"/>
          </w:tcPr>
          <w:p w14:paraId="4B5C7C8B">
            <w:pPr>
              <w:pStyle w:val="27"/>
              <w:keepNext w:val="0"/>
              <w:keepLines w:val="0"/>
              <w:widowControl w:val="0"/>
              <w:suppressLineNumbers w:val="0"/>
              <w:spacing w:before="0" w:beforeAutospacing="0" w:after="0" w:afterAutospacing="0"/>
              <w:ind w:left="0" w:right="0"/>
              <w:jc w:val="left"/>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lang w:eastAsia="zh-CN"/>
              </w:rPr>
              <w:t>CG20261013-3113</w:t>
            </w:r>
          </w:p>
        </w:tc>
      </w:tr>
      <w:tr w14:paraId="7336D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09" w:type="dxa"/>
            <w:noWrap w:val="0"/>
            <w:vAlign w:val="center"/>
          </w:tcPr>
          <w:p w14:paraId="2427C9F6">
            <w:pPr>
              <w:keepNext w:val="0"/>
              <w:keepLines w:val="0"/>
              <w:numPr>
                <w:ilvl w:val="0"/>
                <w:numId w:val="1"/>
              </w:numPr>
              <w:suppressLineNumbers w:val="0"/>
              <w:spacing w:before="0" w:beforeAutospacing="0" w:after="0" w:afterAutospacing="0"/>
              <w:ind w:left="0" w:right="0" w:firstLine="0"/>
              <w:jc w:val="center"/>
              <w:rPr>
                <w:rFonts w:hint="eastAsia" w:ascii="仿宋" w:hAnsi="仿宋" w:eastAsia="仿宋" w:cs="仿宋"/>
                <w:bCs/>
                <w:color w:val="000000"/>
                <w:sz w:val="24"/>
                <w:szCs w:val="24"/>
                <w:highlight w:val="none"/>
              </w:rPr>
            </w:pPr>
          </w:p>
        </w:tc>
        <w:tc>
          <w:tcPr>
            <w:tcW w:w="1900" w:type="dxa"/>
            <w:noWrap w:val="0"/>
            <w:vAlign w:val="center"/>
          </w:tcPr>
          <w:p w14:paraId="5A25B839">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rPr>
            </w:pPr>
            <w:r>
              <w:rPr>
                <w:rFonts w:hint="eastAsia" w:ascii="仿宋" w:hAnsi="仿宋" w:eastAsia="仿宋" w:cs="仿宋"/>
                <w:color w:val="000000"/>
                <w:sz w:val="24"/>
                <w:szCs w:val="24"/>
              </w:rPr>
              <w:t>资金来源</w:t>
            </w:r>
          </w:p>
        </w:tc>
        <w:tc>
          <w:tcPr>
            <w:tcW w:w="6747" w:type="dxa"/>
            <w:noWrap w:val="0"/>
            <w:vAlign w:val="center"/>
          </w:tcPr>
          <w:p w14:paraId="4A49E01B">
            <w:pPr>
              <w:pStyle w:val="27"/>
              <w:keepNext w:val="0"/>
              <w:keepLines w:val="0"/>
              <w:widowControl w:val="0"/>
              <w:suppressLineNumbers w:val="0"/>
              <w:spacing w:before="0" w:beforeAutospacing="0" w:after="0" w:afterAutospacing="0"/>
              <w:ind w:left="0" w:right="0"/>
              <w:jc w:val="left"/>
              <w:rPr>
                <w:rFonts w:hint="eastAsia" w:ascii="仿宋" w:hAnsi="仿宋" w:eastAsia="仿宋" w:cs="仿宋"/>
                <w:b w:val="0"/>
                <w:bCs w:val="0"/>
                <w:color w:val="000000"/>
                <w:sz w:val="24"/>
                <w:szCs w:val="24"/>
                <w:lang w:eastAsia="zh-CN"/>
              </w:rPr>
            </w:pPr>
            <w:r>
              <w:rPr>
                <w:rFonts w:hint="eastAsia" w:ascii="仿宋" w:hAnsi="仿宋" w:eastAsia="仿宋" w:cs="仿宋"/>
                <w:b w:val="0"/>
                <w:bCs w:val="0"/>
                <w:color w:val="000000"/>
                <w:sz w:val="24"/>
                <w:szCs w:val="24"/>
              </w:rPr>
              <w:t>自筹</w:t>
            </w:r>
          </w:p>
        </w:tc>
      </w:tr>
      <w:tr w14:paraId="6D0B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09" w:type="dxa"/>
            <w:noWrap w:val="0"/>
            <w:vAlign w:val="center"/>
          </w:tcPr>
          <w:p w14:paraId="26FF369B">
            <w:pPr>
              <w:keepNext w:val="0"/>
              <w:keepLines w:val="0"/>
              <w:numPr>
                <w:ilvl w:val="0"/>
                <w:numId w:val="1"/>
              </w:numPr>
              <w:suppressLineNumbers w:val="0"/>
              <w:spacing w:before="0" w:beforeAutospacing="0" w:after="0" w:afterAutospacing="0"/>
              <w:ind w:left="0" w:right="0" w:firstLine="0"/>
              <w:jc w:val="center"/>
              <w:rPr>
                <w:rFonts w:hint="eastAsia" w:ascii="仿宋" w:hAnsi="仿宋" w:eastAsia="仿宋" w:cs="仿宋"/>
                <w:bCs/>
                <w:color w:val="000000"/>
                <w:sz w:val="24"/>
                <w:szCs w:val="24"/>
                <w:highlight w:val="none"/>
              </w:rPr>
            </w:pPr>
          </w:p>
        </w:tc>
        <w:tc>
          <w:tcPr>
            <w:tcW w:w="1900" w:type="dxa"/>
            <w:noWrap w:val="0"/>
            <w:vAlign w:val="center"/>
          </w:tcPr>
          <w:p w14:paraId="11BB0462">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项目预算</w:t>
            </w:r>
          </w:p>
          <w:p w14:paraId="0423D7D3">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rPr>
            </w:pPr>
            <w:r>
              <w:rPr>
                <w:rFonts w:hint="eastAsia" w:ascii="仿宋" w:hAnsi="仿宋" w:eastAsia="仿宋" w:cs="仿宋"/>
                <w:sz w:val="24"/>
                <w:szCs w:val="24"/>
              </w:rPr>
              <w:t>（最高限价）</w:t>
            </w:r>
          </w:p>
        </w:tc>
        <w:tc>
          <w:tcPr>
            <w:tcW w:w="6747" w:type="dxa"/>
            <w:noWrap w:val="0"/>
            <w:vAlign w:val="center"/>
          </w:tcPr>
          <w:p w14:paraId="0B927783">
            <w:pPr>
              <w:keepNext w:val="0"/>
              <w:keepLines w:val="0"/>
              <w:suppressLineNumbers w:val="0"/>
              <w:spacing w:before="0" w:beforeAutospacing="0" w:after="0" w:afterAutospacing="0"/>
              <w:ind w:left="0" w:right="0"/>
              <w:jc w:val="left"/>
              <w:rPr>
                <w:rFonts w:hint="eastAsia" w:ascii="仿宋" w:hAnsi="仿宋" w:eastAsia="仿宋" w:cs="仿宋"/>
                <w:b w:val="0"/>
                <w:bCs w:val="0"/>
                <w:color w:val="000000"/>
                <w:sz w:val="24"/>
                <w:szCs w:val="24"/>
              </w:rPr>
            </w:pPr>
            <w:r>
              <w:rPr>
                <w:rFonts w:hint="eastAsia" w:ascii="仿宋" w:hAnsi="仿宋" w:eastAsia="仿宋" w:cs="仿宋"/>
                <w:bCs/>
                <w:color w:val="000000"/>
                <w:sz w:val="24"/>
                <w:szCs w:val="24"/>
                <w:lang w:val="en-US" w:eastAsia="zh-CN"/>
              </w:rPr>
              <w:t>55</w:t>
            </w:r>
            <w:r>
              <w:rPr>
                <w:rFonts w:hint="eastAsia" w:ascii="仿宋" w:hAnsi="仿宋" w:eastAsia="仿宋" w:cs="仿宋"/>
                <w:bCs/>
                <w:color w:val="000000"/>
                <w:sz w:val="24"/>
                <w:szCs w:val="24"/>
                <w:lang w:eastAsia="zh-CN"/>
              </w:rPr>
              <w:t>万元</w:t>
            </w:r>
          </w:p>
        </w:tc>
      </w:tr>
      <w:tr w14:paraId="0C7AA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09" w:type="dxa"/>
            <w:noWrap w:val="0"/>
            <w:vAlign w:val="center"/>
          </w:tcPr>
          <w:p w14:paraId="6ED365E2">
            <w:pPr>
              <w:keepNext w:val="0"/>
              <w:keepLines w:val="0"/>
              <w:numPr>
                <w:ilvl w:val="0"/>
                <w:numId w:val="1"/>
              </w:numPr>
              <w:suppressLineNumbers w:val="0"/>
              <w:spacing w:before="0" w:beforeAutospacing="0" w:after="0" w:afterAutospacing="0"/>
              <w:ind w:left="0" w:right="0" w:firstLine="0"/>
              <w:jc w:val="center"/>
              <w:rPr>
                <w:rFonts w:hint="eastAsia" w:ascii="仿宋" w:hAnsi="仿宋" w:eastAsia="仿宋" w:cs="仿宋"/>
                <w:bCs/>
                <w:color w:val="000000"/>
                <w:sz w:val="24"/>
                <w:szCs w:val="24"/>
                <w:highlight w:val="none"/>
              </w:rPr>
            </w:pPr>
          </w:p>
        </w:tc>
        <w:tc>
          <w:tcPr>
            <w:tcW w:w="1900" w:type="dxa"/>
            <w:noWrap w:val="0"/>
            <w:vAlign w:val="center"/>
          </w:tcPr>
          <w:p w14:paraId="70E80577">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包别划分</w:t>
            </w:r>
          </w:p>
        </w:tc>
        <w:tc>
          <w:tcPr>
            <w:tcW w:w="6747" w:type="dxa"/>
            <w:noWrap w:val="0"/>
            <w:vAlign w:val="center"/>
          </w:tcPr>
          <w:p w14:paraId="6380501D">
            <w:pPr>
              <w:keepNext w:val="0"/>
              <w:keepLines w:val="0"/>
              <w:suppressLineNumbers w:val="0"/>
              <w:autoSpaceDE w:val="0"/>
              <w:autoSpaceDN w:val="0"/>
              <w:adjustRightInd w:val="0"/>
              <w:spacing w:before="0" w:beforeAutospacing="0" w:after="0" w:afterAutospacing="0"/>
              <w:ind w:left="0" w:right="0"/>
              <w:jc w:val="left"/>
              <w:rPr>
                <w:rFonts w:hint="eastAsia" w:ascii="仿宋" w:hAnsi="仿宋" w:eastAsia="仿宋" w:cs="仿宋"/>
                <w:bCs/>
                <w:color w:val="000000"/>
                <w:sz w:val="24"/>
                <w:szCs w:val="24"/>
                <w:lang w:eastAsia="zh-CN"/>
              </w:rPr>
            </w:pPr>
            <w:r>
              <w:rPr>
                <w:rFonts w:hint="eastAsia" w:ascii="仿宋" w:hAnsi="仿宋" w:eastAsia="仿宋" w:cs="仿宋"/>
                <w:color w:val="000000"/>
                <w:sz w:val="24"/>
                <w:szCs w:val="24"/>
              </w:rPr>
              <w:t>不分包</w:t>
            </w:r>
          </w:p>
        </w:tc>
      </w:tr>
      <w:tr w14:paraId="5BB7B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09" w:type="dxa"/>
            <w:noWrap w:val="0"/>
            <w:vAlign w:val="center"/>
          </w:tcPr>
          <w:p w14:paraId="2A843F72">
            <w:pPr>
              <w:keepNext w:val="0"/>
              <w:keepLines w:val="0"/>
              <w:numPr>
                <w:ilvl w:val="0"/>
                <w:numId w:val="1"/>
              </w:numPr>
              <w:suppressLineNumbers w:val="0"/>
              <w:spacing w:before="0" w:beforeAutospacing="0" w:after="0" w:afterAutospacing="0"/>
              <w:ind w:left="0" w:right="0" w:firstLine="0"/>
              <w:jc w:val="center"/>
              <w:rPr>
                <w:rFonts w:hint="eastAsia" w:ascii="仿宋" w:hAnsi="仿宋" w:eastAsia="仿宋" w:cs="仿宋"/>
                <w:bCs/>
                <w:color w:val="000000"/>
                <w:sz w:val="24"/>
                <w:szCs w:val="24"/>
                <w:highlight w:val="none"/>
              </w:rPr>
            </w:pPr>
          </w:p>
        </w:tc>
        <w:tc>
          <w:tcPr>
            <w:tcW w:w="1900" w:type="dxa"/>
            <w:shd w:val="clear" w:color="auto" w:fill="auto"/>
            <w:noWrap w:val="0"/>
            <w:vAlign w:val="center"/>
          </w:tcPr>
          <w:p w14:paraId="1B41957F">
            <w:pPr>
              <w:keepNext w:val="0"/>
              <w:keepLines w:val="0"/>
              <w:widowControl/>
              <w:suppressLineNumbers w:val="0"/>
              <w:adjustRightInd w:val="0"/>
              <w:snapToGrid w:val="0"/>
              <w:spacing w:before="0" w:beforeAutospacing="0" w:after="0" w:afterAutospacing="0" w:line="288" w:lineRule="auto"/>
              <w:ind w:left="0" w:right="0"/>
              <w:jc w:val="center"/>
              <w:rPr>
                <w:rFonts w:hint="eastAsia" w:ascii="仿宋" w:hAnsi="仿宋" w:eastAsia="仿宋" w:cs="仿宋"/>
                <w:color w:val="auto"/>
                <w:kern w:val="2"/>
                <w:sz w:val="24"/>
                <w:szCs w:val="24"/>
                <w:highlight w:val="none"/>
                <w:lang w:val="zh-CN" w:eastAsia="zh-CN" w:bidi="ar-SA"/>
              </w:rPr>
            </w:pPr>
            <w:r>
              <w:rPr>
                <w:rFonts w:hint="eastAsia" w:ascii="仿宋" w:hAnsi="仿宋" w:eastAsia="仿宋" w:cs="仿宋"/>
                <w:color w:val="auto"/>
                <w:sz w:val="24"/>
                <w:szCs w:val="24"/>
                <w:highlight w:val="none"/>
              </w:rPr>
              <w:t>供应商资格要求</w:t>
            </w:r>
          </w:p>
        </w:tc>
        <w:tc>
          <w:tcPr>
            <w:tcW w:w="6747" w:type="dxa"/>
            <w:shd w:val="clear" w:color="auto" w:fill="auto"/>
            <w:noWrap w:val="0"/>
            <w:vAlign w:val="center"/>
          </w:tcPr>
          <w:p w14:paraId="4F8F7917">
            <w:pPr>
              <w:keepNext w:val="0"/>
              <w:keepLines w:val="0"/>
              <w:widowControl/>
              <w:suppressLineNumbers w:val="0"/>
              <w:adjustRightInd w:val="0"/>
              <w:snapToGrid w:val="0"/>
              <w:spacing w:before="0" w:beforeAutospacing="0" w:after="0" w:afterAutospacing="0" w:line="288" w:lineRule="auto"/>
              <w:ind w:left="0" w:right="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见磋商公告</w:t>
            </w:r>
          </w:p>
        </w:tc>
      </w:tr>
      <w:tr w14:paraId="236A1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09" w:type="dxa"/>
            <w:noWrap w:val="0"/>
            <w:vAlign w:val="center"/>
          </w:tcPr>
          <w:p w14:paraId="3C365A20">
            <w:pPr>
              <w:keepNext w:val="0"/>
              <w:keepLines w:val="0"/>
              <w:numPr>
                <w:ilvl w:val="0"/>
                <w:numId w:val="1"/>
              </w:numPr>
              <w:suppressLineNumbers w:val="0"/>
              <w:spacing w:before="0" w:beforeAutospacing="0" w:after="0" w:afterAutospacing="0"/>
              <w:ind w:left="0" w:right="0" w:firstLine="0"/>
              <w:jc w:val="center"/>
              <w:rPr>
                <w:rFonts w:hint="eastAsia" w:ascii="仿宋" w:hAnsi="仿宋" w:eastAsia="仿宋" w:cs="仿宋"/>
                <w:color w:val="000000"/>
                <w:sz w:val="24"/>
                <w:szCs w:val="24"/>
                <w:highlight w:val="none"/>
              </w:rPr>
            </w:pPr>
          </w:p>
        </w:tc>
        <w:tc>
          <w:tcPr>
            <w:tcW w:w="1900" w:type="dxa"/>
            <w:shd w:val="clear" w:color="auto" w:fill="auto"/>
            <w:noWrap w:val="0"/>
            <w:vAlign w:val="center"/>
          </w:tcPr>
          <w:p w14:paraId="2764A323">
            <w:pPr>
              <w:keepNext w:val="0"/>
              <w:keepLines w:val="0"/>
              <w:widowControl/>
              <w:suppressLineNumbers w:val="0"/>
              <w:adjustRightInd w:val="0"/>
              <w:snapToGrid w:val="0"/>
              <w:spacing w:before="0" w:beforeAutospacing="0" w:after="0" w:afterAutospacing="0" w:line="288" w:lineRule="auto"/>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是否接受联合体响应</w:t>
            </w:r>
          </w:p>
        </w:tc>
        <w:tc>
          <w:tcPr>
            <w:tcW w:w="6747" w:type="dxa"/>
            <w:shd w:val="clear" w:color="auto" w:fill="auto"/>
            <w:noWrap w:val="0"/>
            <w:vAlign w:val="center"/>
          </w:tcPr>
          <w:p w14:paraId="7A009CC8">
            <w:pPr>
              <w:keepNext w:val="0"/>
              <w:keepLines w:val="0"/>
              <w:widowControl/>
              <w:suppressLineNumbers w:val="0"/>
              <w:topLinePunct/>
              <w:adjustRightInd w:val="0"/>
              <w:snapToGrid w:val="0"/>
              <w:spacing w:before="0" w:beforeAutospacing="0" w:after="0" w:afterAutospacing="0" w:line="288" w:lineRule="auto"/>
              <w:ind w:left="0" w:right="0"/>
              <w:rPr>
                <w:rFonts w:hint="eastAsia" w:ascii="仿宋" w:hAnsi="仿宋" w:eastAsia="仿宋" w:cs="仿宋"/>
                <w:color w:val="auto"/>
                <w:kern w:val="2"/>
                <w:sz w:val="24"/>
                <w:szCs w:val="24"/>
                <w:highlight w:val="none"/>
                <w:u w:val="single"/>
                <w:lang w:val="en-US" w:eastAsia="zh-CN" w:bidi="ar-SA"/>
              </w:rPr>
            </w:pPr>
            <w:r>
              <w:rPr>
                <w:rFonts w:hint="eastAsia" w:ascii="仿宋" w:hAnsi="仿宋" w:eastAsia="仿宋" w:cs="仿宋"/>
                <w:color w:val="auto"/>
                <w:sz w:val="24"/>
                <w:szCs w:val="24"/>
                <w:highlight w:val="none"/>
              </w:rPr>
              <w:t>☑不接受  □接受</w:t>
            </w:r>
          </w:p>
        </w:tc>
      </w:tr>
      <w:tr w14:paraId="45DC4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09" w:type="dxa"/>
            <w:noWrap w:val="0"/>
            <w:vAlign w:val="center"/>
          </w:tcPr>
          <w:p w14:paraId="17856A82">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highlight w:val="none"/>
                <w:lang w:val="en-US" w:eastAsia="zh-CN"/>
              </w:rPr>
              <w:t>9</w:t>
            </w:r>
          </w:p>
        </w:tc>
        <w:tc>
          <w:tcPr>
            <w:tcW w:w="1900" w:type="dxa"/>
            <w:shd w:val="clear" w:color="auto" w:fill="auto"/>
            <w:noWrap w:val="0"/>
            <w:vAlign w:val="center"/>
          </w:tcPr>
          <w:p w14:paraId="4B0DC53D">
            <w:pPr>
              <w:keepNext w:val="0"/>
              <w:keepLines w:val="0"/>
              <w:widowControl/>
              <w:suppressLineNumbers w:val="0"/>
              <w:adjustRightInd w:val="0"/>
              <w:snapToGrid w:val="0"/>
              <w:spacing w:before="0" w:beforeAutospacing="0" w:after="0" w:afterAutospacing="0" w:line="288" w:lineRule="auto"/>
              <w:ind w:left="0" w:right="0"/>
              <w:jc w:val="center"/>
              <w:rPr>
                <w:rFonts w:hint="eastAsia" w:ascii="仿宋" w:hAnsi="仿宋" w:eastAsia="仿宋" w:cs="仿宋"/>
                <w:color w:val="auto"/>
                <w:kern w:val="2"/>
                <w:sz w:val="24"/>
                <w:szCs w:val="24"/>
                <w:highlight w:val="none"/>
                <w:lang w:val="zh-CN" w:eastAsia="zh-CN" w:bidi="ar-SA"/>
              </w:rPr>
            </w:pPr>
            <w:r>
              <w:rPr>
                <w:rFonts w:hint="eastAsia" w:ascii="仿宋" w:hAnsi="仿宋" w:eastAsia="仿宋" w:cs="仿宋"/>
                <w:color w:val="auto"/>
                <w:sz w:val="24"/>
                <w:szCs w:val="24"/>
                <w:highlight w:val="none"/>
              </w:rPr>
              <w:t>供应商不得存在的其他情形</w:t>
            </w:r>
          </w:p>
        </w:tc>
        <w:tc>
          <w:tcPr>
            <w:tcW w:w="6747" w:type="dxa"/>
            <w:shd w:val="clear" w:color="auto" w:fill="auto"/>
            <w:noWrap w:val="0"/>
            <w:vAlign w:val="center"/>
          </w:tcPr>
          <w:p w14:paraId="51BBE4A2">
            <w:pPr>
              <w:keepNext w:val="0"/>
              <w:keepLines w:val="0"/>
              <w:widowControl/>
              <w:suppressLineNumbers w:val="0"/>
              <w:topLinePunct/>
              <w:adjustRightInd w:val="0"/>
              <w:snapToGrid w:val="0"/>
              <w:spacing w:before="0" w:beforeAutospacing="0" w:after="0" w:afterAutospacing="0" w:line="288" w:lineRule="auto"/>
              <w:ind w:left="0" w:right="0"/>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sz w:val="24"/>
                <w:szCs w:val="24"/>
                <w:highlight w:val="none"/>
              </w:rPr>
              <w:t>详见供应商须知正文。</w:t>
            </w:r>
          </w:p>
        </w:tc>
      </w:tr>
      <w:tr w14:paraId="00C54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09" w:type="dxa"/>
            <w:noWrap w:val="0"/>
            <w:vAlign w:val="center"/>
          </w:tcPr>
          <w:p w14:paraId="0B6B7A40">
            <w:pPr>
              <w:keepNext w:val="0"/>
              <w:keepLines w:val="0"/>
              <w:numPr>
                <w:ilvl w:val="0"/>
                <w:numId w:val="2"/>
              </w:numPr>
              <w:suppressLineNumbers w:val="0"/>
              <w:spacing w:before="0" w:beforeAutospacing="0" w:after="0" w:afterAutospacing="0"/>
              <w:ind w:left="0" w:right="0" w:firstLine="0"/>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0</w:t>
            </w:r>
          </w:p>
        </w:tc>
        <w:tc>
          <w:tcPr>
            <w:tcW w:w="1900" w:type="dxa"/>
            <w:shd w:val="clear" w:color="auto" w:fill="auto"/>
            <w:noWrap w:val="0"/>
            <w:vAlign w:val="center"/>
          </w:tcPr>
          <w:p w14:paraId="5D025F98">
            <w:pPr>
              <w:keepNext w:val="0"/>
              <w:keepLines w:val="0"/>
              <w:widowControl/>
              <w:suppressLineNumbers w:val="0"/>
              <w:adjustRightInd w:val="0"/>
              <w:snapToGrid w:val="0"/>
              <w:spacing w:before="0" w:beforeAutospacing="0" w:after="0" w:afterAutospacing="0" w:line="288" w:lineRule="auto"/>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磋商前答疑会</w:t>
            </w:r>
          </w:p>
        </w:tc>
        <w:tc>
          <w:tcPr>
            <w:tcW w:w="6747" w:type="dxa"/>
            <w:shd w:val="clear" w:color="auto" w:fill="auto"/>
            <w:noWrap w:val="0"/>
            <w:vAlign w:val="center"/>
          </w:tcPr>
          <w:p w14:paraId="4CB6B752">
            <w:pPr>
              <w:keepNext w:val="0"/>
              <w:keepLines w:val="0"/>
              <w:widowControl/>
              <w:suppressLineNumbers w:val="0"/>
              <w:topLinePunct/>
              <w:adjustRightInd w:val="0"/>
              <w:snapToGrid w:val="0"/>
              <w:spacing w:before="0" w:beforeAutospacing="0" w:after="0" w:afterAutospacing="0" w:line="288" w:lineRule="auto"/>
              <w:ind w:left="171" w:leftChars="0" w:right="0" w:hanging="171" w:hangingChars="78"/>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☑不召开   □召开</w:t>
            </w:r>
          </w:p>
        </w:tc>
      </w:tr>
      <w:tr w14:paraId="524E1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709" w:type="dxa"/>
            <w:noWrap w:val="0"/>
            <w:vAlign w:val="center"/>
          </w:tcPr>
          <w:p w14:paraId="2602DE6D">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1</w:t>
            </w:r>
            <w:r>
              <w:rPr>
                <w:rFonts w:hint="eastAsia" w:ascii="仿宋" w:hAnsi="仿宋" w:eastAsia="仿宋" w:cs="仿宋"/>
                <w:color w:val="000000"/>
                <w:sz w:val="24"/>
                <w:szCs w:val="24"/>
                <w:lang w:val="en-US" w:eastAsia="zh-CN"/>
              </w:rPr>
              <w:t>1</w:t>
            </w:r>
          </w:p>
        </w:tc>
        <w:tc>
          <w:tcPr>
            <w:tcW w:w="1900" w:type="dxa"/>
            <w:shd w:val="clear" w:color="auto" w:fill="auto"/>
            <w:noWrap w:val="0"/>
            <w:vAlign w:val="center"/>
          </w:tcPr>
          <w:p w14:paraId="333DAD6B">
            <w:pPr>
              <w:keepNext w:val="0"/>
              <w:keepLines w:val="0"/>
              <w:widowControl/>
              <w:suppressLineNumbers w:val="0"/>
              <w:adjustRightInd w:val="0"/>
              <w:snapToGrid w:val="0"/>
              <w:spacing w:before="0" w:beforeAutospacing="0" w:after="0" w:afterAutospacing="0" w:line="288" w:lineRule="auto"/>
              <w:ind w:left="0" w:right="0"/>
              <w:jc w:val="center"/>
              <w:rPr>
                <w:rFonts w:hint="eastAsia" w:ascii="仿宋" w:hAnsi="仿宋" w:eastAsia="仿宋" w:cs="仿宋"/>
                <w:color w:val="auto"/>
                <w:kern w:val="2"/>
                <w:sz w:val="24"/>
                <w:szCs w:val="24"/>
                <w:highlight w:val="none"/>
                <w:lang w:val="zh-CN" w:eastAsia="zh-CN" w:bidi="ar-SA"/>
              </w:rPr>
            </w:pPr>
            <w:r>
              <w:rPr>
                <w:rFonts w:hint="eastAsia" w:ascii="仿宋" w:hAnsi="仿宋" w:eastAsia="仿宋" w:cs="仿宋"/>
                <w:color w:val="auto"/>
                <w:sz w:val="24"/>
                <w:szCs w:val="24"/>
                <w:highlight w:val="none"/>
              </w:rPr>
              <w:t>分包</w:t>
            </w:r>
          </w:p>
        </w:tc>
        <w:tc>
          <w:tcPr>
            <w:tcW w:w="6747" w:type="dxa"/>
            <w:shd w:val="clear" w:color="auto" w:fill="auto"/>
            <w:noWrap w:val="0"/>
            <w:vAlign w:val="center"/>
          </w:tcPr>
          <w:p w14:paraId="5349E989">
            <w:pPr>
              <w:keepNext w:val="0"/>
              <w:keepLines w:val="0"/>
              <w:widowControl/>
              <w:suppressLineNumbers w:val="0"/>
              <w:topLinePunct/>
              <w:adjustRightInd w:val="0"/>
              <w:snapToGrid w:val="0"/>
              <w:spacing w:before="0" w:beforeAutospacing="0" w:after="0" w:afterAutospacing="0" w:line="288" w:lineRule="auto"/>
              <w:ind w:left="171" w:leftChars="0" w:right="0" w:hanging="171" w:hangingChars="78"/>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☑不允许   □允许</w:t>
            </w:r>
          </w:p>
        </w:tc>
      </w:tr>
      <w:tr w14:paraId="57F50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709" w:type="dxa"/>
            <w:noWrap w:val="0"/>
            <w:vAlign w:val="center"/>
          </w:tcPr>
          <w:p w14:paraId="7A147E4B">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1</w:t>
            </w:r>
            <w:r>
              <w:rPr>
                <w:rFonts w:hint="eastAsia" w:ascii="仿宋" w:hAnsi="仿宋" w:eastAsia="仿宋" w:cs="仿宋"/>
                <w:color w:val="000000"/>
                <w:sz w:val="24"/>
                <w:szCs w:val="24"/>
                <w:lang w:val="en-US" w:eastAsia="zh-CN"/>
              </w:rPr>
              <w:t>2</w:t>
            </w:r>
          </w:p>
        </w:tc>
        <w:tc>
          <w:tcPr>
            <w:tcW w:w="1900" w:type="dxa"/>
            <w:shd w:val="clear" w:color="auto" w:fill="auto"/>
            <w:noWrap w:val="0"/>
            <w:vAlign w:val="center"/>
          </w:tcPr>
          <w:p w14:paraId="4418F6DD">
            <w:pPr>
              <w:keepNext w:val="0"/>
              <w:keepLines w:val="0"/>
              <w:suppressLineNumbers w:val="0"/>
              <w:spacing w:before="0" w:beforeAutospacing="0" w:after="0" w:afterAutospacing="0"/>
              <w:ind w:left="0" w:leftChars="0" w:right="0" w:rightChar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zh-CN"/>
              </w:rPr>
              <w:t>报价要求</w:t>
            </w:r>
          </w:p>
        </w:tc>
        <w:tc>
          <w:tcPr>
            <w:tcW w:w="6747" w:type="dxa"/>
            <w:shd w:val="clear" w:color="auto" w:fill="auto"/>
            <w:noWrap w:val="0"/>
            <w:vAlign w:val="center"/>
          </w:tcPr>
          <w:p w14:paraId="760045DB">
            <w:pPr>
              <w:keepNext w:val="0"/>
              <w:keepLines w:val="0"/>
              <w:suppressLineNumbers w:val="0"/>
              <w:autoSpaceDE w:val="0"/>
              <w:autoSpaceDN w:val="0"/>
              <w:adjustRightInd w:val="0"/>
              <w:spacing w:before="0" w:beforeAutospacing="0" w:after="0" w:afterAutospacing="0"/>
              <w:ind w:left="0" w:right="0"/>
              <w:jc w:val="left"/>
              <w:rPr>
                <w:rFonts w:hint="default" w:ascii="仿宋" w:hAnsi="仿宋" w:eastAsia="仿宋" w:cs="仿宋"/>
                <w:color w:val="000000"/>
                <w:sz w:val="24"/>
                <w:szCs w:val="24"/>
                <w:highlight w:val="yellow"/>
              </w:rPr>
            </w:pPr>
            <w:r>
              <w:rPr>
                <w:rFonts w:hint="eastAsia" w:ascii="仿宋" w:hAnsi="仿宋" w:eastAsia="仿宋" w:cs="仿宋"/>
                <w:b/>
                <w:bCs/>
                <w:color w:val="000000"/>
                <w:sz w:val="24"/>
                <w:szCs w:val="24"/>
              </w:rPr>
              <w:t>报价要求：</w:t>
            </w:r>
            <w:r>
              <w:rPr>
                <w:rFonts w:hint="eastAsia" w:ascii="仿宋" w:hAnsi="仿宋" w:eastAsia="仿宋" w:cs="仿宋"/>
                <w:color w:val="000000"/>
                <w:sz w:val="24"/>
                <w:szCs w:val="24"/>
              </w:rPr>
              <w:t>报价应包括完成本项目全部内容所涉及的各项费用，包括但不限于</w:t>
            </w:r>
            <w:r>
              <w:rPr>
                <w:rFonts w:hint="eastAsia" w:ascii="仿宋" w:hAnsi="仿宋" w:eastAsia="仿宋" w:cs="仿宋"/>
                <w:color w:val="000000"/>
                <w:sz w:val="24"/>
                <w:szCs w:val="24"/>
                <w:lang w:val="en-US" w:eastAsia="zh-CN"/>
              </w:rPr>
              <w:t>设计、生产、安装、调试、</w:t>
            </w:r>
            <w:r>
              <w:rPr>
                <w:rFonts w:hint="eastAsia" w:ascii="仿宋" w:hAnsi="仿宋" w:eastAsia="仿宋" w:cs="仿宋"/>
                <w:color w:val="000000"/>
                <w:sz w:val="24"/>
                <w:szCs w:val="24"/>
              </w:rPr>
              <w:t>售后</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人工、设备租赁</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施工及辅材、</w:t>
            </w:r>
            <w:r>
              <w:rPr>
                <w:rFonts w:hint="eastAsia" w:ascii="仿宋" w:hAnsi="仿宋" w:eastAsia="仿宋" w:cs="仿宋"/>
                <w:color w:val="000000"/>
                <w:sz w:val="24"/>
                <w:szCs w:val="24"/>
              </w:rPr>
              <w:t>税金及不可预见费等所有费用</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采购人不再另行支付其他任何费用</w:t>
            </w:r>
            <w:r>
              <w:rPr>
                <w:rFonts w:hint="eastAsia" w:ascii="仿宋" w:hAnsi="仿宋" w:eastAsia="仿宋" w:cs="仿宋"/>
                <w:color w:val="000000"/>
                <w:sz w:val="24"/>
                <w:szCs w:val="24"/>
              </w:rPr>
              <w:t>。</w:t>
            </w:r>
            <w:r>
              <w:rPr>
                <w:rFonts w:hint="eastAsia" w:ascii="仿宋" w:hAnsi="仿宋" w:eastAsia="仿宋" w:cs="仿宋"/>
                <w:color w:val="000000"/>
                <w:sz w:val="24"/>
                <w:szCs w:val="24"/>
                <w:highlight w:val="yellow"/>
              </w:rPr>
              <w:t>供应商只需报价一次即为最终报价，无需进行二次报价。</w:t>
            </w:r>
          </w:p>
          <w:p w14:paraId="1A0C34C1">
            <w:pPr>
              <w:keepNext w:val="0"/>
              <w:keepLines w:val="0"/>
              <w:suppressLineNumbers w:val="0"/>
              <w:autoSpaceDE w:val="0"/>
              <w:autoSpaceDN w:val="0"/>
              <w:adjustRightInd w:val="0"/>
              <w:spacing w:before="0" w:beforeAutospacing="0" w:after="0" w:afterAutospacing="0"/>
              <w:ind w:left="0" w:leftChars="0" w:right="0" w:rightChars="0"/>
              <w:jc w:val="left"/>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是否接受负偏离：</w:t>
            </w:r>
            <w:r>
              <w:rPr>
                <w:rFonts w:hint="eastAsia" w:ascii="仿宋" w:hAnsi="仿宋" w:eastAsia="仿宋" w:cs="仿宋"/>
                <w:color w:val="000000"/>
                <w:sz w:val="24"/>
                <w:szCs w:val="24"/>
              </w:rPr>
              <w:sym w:font="Wingdings 2" w:char="0052"/>
            </w:r>
            <w:r>
              <w:rPr>
                <w:rFonts w:hint="eastAsia" w:ascii="仿宋" w:hAnsi="仿宋" w:eastAsia="仿宋" w:cs="仿宋"/>
                <w:color w:val="000000"/>
                <w:sz w:val="24"/>
                <w:szCs w:val="24"/>
              </w:rPr>
              <w:t>不接受   □允许：允许接受的幅度：</w:t>
            </w:r>
          </w:p>
        </w:tc>
      </w:tr>
      <w:tr w14:paraId="71879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09" w:type="dxa"/>
            <w:noWrap w:val="0"/>
            <w:vAlign w:val="center"/>
          </w:tcPr>
          <w:p w14:paraId="3CD291AE">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lang w:val="en-US"/>
              </w:rPr>
            </w:pPr>
            <w:r>
              <w:rPr>
                <w:rFonts w:hint="eastAsia" w:ascii="仿宋" w:hAnsi="仿宋" w:eastAsia="仿宋" w:cs="仿宋"/>
                <w:color w:val="000000"/>
                <w:sz w:val="24"/>
                <w:szCs w:val="24"/>
                <w:lang w:val="en-US" w:eastAsia="zh-CN"/>
              </w:rPr>
              <w:t>13</w:t>
            </w:r>
          </w:p>
        </w:tc>
        <w:tc>
          <w:tcPr>
            <w:tcW w:w="1900" w:type="dxa"/>
            <w:shd w:val="clear" w:color="auto" w:fill="auto"/>
            <w:noWrap w:val="0"/>
            <w:vAlign w:val="center"/>
          </w:tcPr>
          <w:p w14:paraId="53D90CB8">
            <w:pPr>
              <w:keepNext w:val="0"/>
              <w:keepLines w:val="0"/>
              <w:suppressLineNumbers w:val="0"/>
              <w:spacing w:before="0" w:beforeAutospacing="0" w:after="0" w:afterAutospacing="0"/>
              <w:ind w:left="0" w:leftChars="0" w:right="0" w:rightChar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zh-CN"/>
              </w:rPr>
              <w:t>付款方式</w:t>
            </w:r>
          </w:p>
        </w:tc>
        <w:tc>
          <w:tcPr>
            <w:tcW w:w="6747" w:type="dxa"/>
            <w:shd w:val="clear" w:color="auto" w:fill="auto"/>
            <w:noWrap w:val="0"/>
            <w:vAlign w:val="center"/>
          </w:tcPr>
          <w:p w14:paraId="663EC657">
            <w:pPr>
              <w:pStyle w:val="28"/>
              <w:keepNext w:val="0"/>
              <w:keepLines w:val="0"/>
              <w:suppressLineNumbers w:val="0"/>
              <w:spacing w:before="0" w:beforeAutospacing="0" w:after="0" w:afterAutospacing="0"/>
              <w:ind w:left="0" w:right="0"/>
              <w:jc w:val="left"/>
              <w:rPr>
                <w:rFonts w:hint="eastAsia" w:ascii="仿宋" w:hAnsi="仿宋" w:eastAsia="仿宋" w:cs="仿宋"/>
                <w:color w:val="000000"/>
                <w:kern w:val="2"/>
                <w:sz w:val="24"/>
                <w:szCs w:val="24"/>
                <w:lang w:val="en-US" w:eastAsia="zh-CN" w:bidi="ar-SA"/>
              </w:rPr>
            </w:pPr>
            <w:r>
              <w:rPr>
                <w:rFonts w:hint="eastAsia" w:ascii="仿宋" w:hAnsi="仿宋" w:eastAsia="仿宋" w:cs="仿宋"/>
                <w:b/>
                <w:sz w:val="24"/>
                <w:szCs w:val="24"/>
              </w:rPr>
              <w:t>付款方式：</w:t>
            </w:r>
            <w:r>
              <w:rPr>
                <w:rFonts w:hint="eastAsia" w:ascii="仿宋" w:hAnsi="仿宋" w:eastAsia="仿宋" w:cs="仿宋"/>
                <w:color w:val="000000"/>
                <w:kern w:val="2"/>
                <w:sz w:val="24"/>
                <w:szCs w:val="24"/>
                <w:lang w:val="en-US" w:eastAsia="zh-CN" w:bidi="ar-SA"/>
              </w:rPr>
              <w:t>无预付款，项目完成验收合格后30日内据实结算。付款前，供应商须开具正规增值税发票、实际安装清单汇总。开票信息须与合同签署页相应信息保持一致。</w:t>
            </w:r>
          </w:p>
          <w:p w14:paraId="441A33CF">
            <w:pPr>
              <w:pStyle w:val="28"/>
              <w:keepNext w:val="0"/>
              <w:keepLines w:val="0"/>
              <w:suppressLineNumbers w:val="0"/>
              <w:spacing w:before="0" w:beforeAutospacing="0" w:after="0" w:afterAutospacing="0"/>
              <w:ind w:left="0" w:leftChars="0" w:right="0" w:rightChars="0"/>
              <w:jc w:val="left"/>
              <w:rPr>
                <w:rFonts w:hint="eastAsia" w:ascii="仿宋" w:hAnsi="仿宋" w:eastAsia="仿宋" w:cs="仿宋"/>
                <w:kern w:val="2"/>
                <w:sz w:val="24"/>
                <w:szCs w:val="24"/>
                <w:lang w:val="en-US" w:eastAsia="zh-CN" w:bidi="ar-SA"/>
              </w:rPr>
            </w:pPr>
            <w:r>
              <w:rPr>
                <w:rFonts w:hint="eastAsia" w:ascii="仿宋" w:hAnsi="仿宋" w:eastAsia="仿宋" w:cs="仿宋"/>
                <w:sz w:val="24"/>
                <w:szCs w:val="24"/>
              </w:rPr>
              <w:t>是否接受负偏离：</w:t>
            </w:r>
            <w:r>
              <w:rPr>
                <w:rFonts w:hint="eastAsia" w:ascii="仿宋" w:hAnsi="仿宋" w:eastAsia="仿宋" w:cs="仿宋"/>
                <w:bCs/>
                <w:sz w:val="24"/>
                <w:szCs w:val="24"/>
              </w:rPr>
              <w:sym w:font="Wingdings 2" w:char="0052"/>
            </w:r>
            <w:r>
              <w:rPr>
                <w:rFonts w:hint="eastAsia" w:ascii="仿宋" w:hAnsi="仿宋" w:eastAsia="仿宋" w:cs="仿宋"/>
                <w:sz w:val="24"/>
                <w:szCs w:val="24"/>
              </w:rPr>
              <w:t>不接受   □允许：允许接受的幅度：</w:t>
            </w:r>
          </w:p>
        </w:tc>
      </w:tr>
      <w:tr w14:paraId="65B9F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09" w:type="dxa"/>
            <w:noWrap w:val="0"/>
            <w:vAlign w:val="center"/>
          </w:tcPr>
          <w:p w14:paraId="30A7D8D0">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1</w:t>
            </w:r>
            <w:r>
              <w:rPr>
                <w:rFonts w:hint="eastAsia" w:ascii="仿宋" w:hAnsi="仿宋" w:eastAsia="仿宋" w:cs="仿宋"/>
                <w:color w:val="000000"/>
                <w:sz w:val="24"/>
                <w:szCs w:val="24"/>
                <w:lang w:val="en-US" w:eastAsia="zh-CN"/>
              </w:rPr>
              <w:t>4</w:t>
            </w:r>
          </w:p>
        </w:tc>
        <w:tc>
          <w:tcPr>
            <w:tcW w:w="1900" w:type="dxa"/>
            <w:shd w:val="clear" w:color="auto" w:fill="auto"/>
            <w:noWrap w:val="0"/>
            <w:vAlign w:val="center"/>
          </w:tcPr>
          <w:p w14:paraId="14CAE865">
            <w:pPr>
              <w:keepNext w:val="0"/>
              <w:keepLines w:val="0"/>
              <w:suppressLineNumbers w:val="0"/>
              <w:spacing w:before="0" w:beforeAutospacing="0" w:after="0" w:afterAutospacing="0"/>
              <w:ind w:left="0" w:leftChars="0" w:right="0" w:rightChar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磋商有效期</w:t>
            </w:r>
          </w:p>
        </w:tc>
        <w:tc>
          <w:tcPr>
            <w:tcW w:w="6747" w:type="dxa"/>
            <w:shd w:val="clear" w:color="auto" w:fill="auto"/>
            <w:noWrap w:val="0"/>
            <w:vAlign w:val="center"/>
          </w:tcPr>
          <w:p w14:paraId="66018B39">
            <w:pPr>
              <w:keepNext w:val="0"/>
              <w:keepLines w:val="0"/>
              <w:suppressLineNumbers w:val="0"/>
              <w:spacing w:before="0" w:beforeAutospacing="0" w:after="0" w:afterAutospacing="0"/>
              <w:ind w:left="0" w:leftChars="0" w:right="0" w:rightChars="0"/>
              <w:jc w:val="left"/>
              <w:rPr>
                <w:rFonts w:hint="eastAsia" w:ascii="仿宋" w:hAnsi="仿宋" w:eastAsia="仿宋" w:cs="仿宋"/>
                <w:b/>
                <w:bCs/>
                <w:color w:val="000000"/>
                <w:kern w:val="2"/>
                <w:sz w:val="24"/>
                <w:szCs w:val="24"/>
                <w:lang w:val="en-US" w:eastAsia="zh-CN" w:bidi="ar-SA"/>
              </w:rPr>
            </w:pPr>
            <w:r>
              <w:rPr>
                <w:rFonts w:hint="eastAsia" w:ascii="仿宋" w:hAnsi="仿宋" w:eastAsia="仿宋" w:cs="仿宋"/>
                <w:bCs/>
                <w:color w:val="000000"/>
                <w:sz w:val="24"/>
                <w:szCs w:val="24"/>
                <w:lang w:val="en-US" w:eastAsia="zh-CN"/>
              </w:rPr>
              <w:t>7</w:t>
            </w:r>
            <w:r>
              <w:rPr>
                <w:rFonts w:hint="eastAsia" w:ascii="仿宋" w:hAnsi="仿宋" w:eastAsia="仿宋" w:cs="仿宋"/>
                <w:bCs/>
                <w:color w:val="000000"/>
                <w:sz w:val="24"/>
                <w:szCs w:val="24"/>
              </w:rPr>
              <w:t>天</w:t>
            </w:r>
          </w:p>
        </w:tc>
      </w:tr>
      <w:tr w14:paraId="6161A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09" w:type="dxa"/>
            <w:noWrap w:val="0"/>
            <w:vAlign w:val="center"/>
          </w:tcPr>
          <w:p w14:paraId="1A099587">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15</w:t>
            </w:r>
          </w:p>
        </w:tc>
        <w:tc>
          <w:tcPr>
            <w:tcW w:w="1900" w:type="dxa"/>
            <w:shd w:val="clear" w:color="auto" w:fill="auto"/>
            <w:noWrap w:val="0"/>
            <w:vAlign w:val="center"/>
          </w:tcPr>
          <w:p w14:paraId="0EB87A6D">
            <w:pPr>
              <w:keepNext w:val="0"/>
              <w:keepLines w:val="0"/>
              <w:suppressLineNumbers w:val="0"/>
              <w:spacing w:before="0" w:beforeAutospacing="0" w:after="0" w:afterAutospacing="0"/>
              <w:ind w:left="0" w:leftChars="0" w:right="0" w:rightChar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服务期限</w:t>
            </w:r>
          </w:p>
        </w:tc>
        <w:tc>
          <w:tcPr>
            <w:tcW w:w="6747" w:type="dxa"/>
            <w:shd w:val="clear" w:color="auto" w:fill="auto"/>
            <w:noWrap w:val="0"/>
            <w:vAlign w:val="center"/>
          </w:tcPr>
          <w:p w14:paraId="27372979">
            <w:pPr>
              <w:keepNext w:val="0"/>
              <w:keepLines w:val="0"/>
              <w:widowControl/>
              <w:suppressLineNumbers w:val="0"/>
              <w:adjustRightInd w:val="0"/>
              <w:snapToGrid w:val="0"/>
              <w:spacing w:before="0" w:beforeAutospacing="0" w:after="0" w:afterAutospacing="0" w:line="288" w:lineRule="auto"/>
              <w:ind w:left="0" w:right="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自合同签订之日起</w:t>
            </w:r>
            <w:r>
              <w:rPr>
                <w:rFonts w:hint="eastAsia" w:ascii="仿宋" w:hAnsi="仿宋" w:eastAsia="仿宋" w:cs="仿宋"/>
                <w:b/>
                <w:bCs/>
                <w:sz w:val="24"/>
                <w:szCs w:val="24"/>
                <w:highlight w:val="yellow"/>
                <w:lang w:val="en-US" w:eastAsia="zh-CN"/>
              </w:rPr>
              <w:t>60日历日</w:t>
            </w:r>
            <w:r>
              <w:rPr>
                <w:rFonts w:hint="eastAsia" w:ascii="仿宋" w:hAnsi="仿宋" w:eastAsia="仿宋" w:cs="仿宋"/>
                <w:color w:val="auto"/>
                <w:sz w:val="24"/>
                <w:szCs w:val="24"/>
                <w:highlight w:val="none"/>
                <w:lang w:eastAsia="zh-CN"/>
              </w:rPr>
              <w:t>。</w:t>
            </w:r>
          </w:p>
          <w:p w14:paraId="17D45ABE">
            <w:pPr>
              <w:keepNext w:val="0"/>
              <w:keepLines w:val="0"/>
              <w:suppressLineNumbers w:val="0"/>
              <w:spacing w:before="0" w:beforeAutospacing="0" w:after="0" w:afterAutospacing="0"/>
              <w:ind w:left="0" w:leftChars="0" w:right="0" w:rightChars="0"/>
              <w:jc w:val="left"/>
              <w:rPr>
                <w:rFonts w:hint="eastAsia" w:ascii="仿宋" w:hAnsi="仿宋" w:eastAsia="仿宋" w:cs="仿宋"/>
                <w:color w:val="000000"/>
                <w:kern w:val="2"/>
                <w:sz w:val="24"/>
                <w:szCs w:val="24"/>
                <w:lang w:val="en-US" w:eastAsia="zh-CN" w:bidi="ar-SA"/>
              </w:rPr>
            </w:pPr>
            <w:r>
              <w:rPr>
                <w:rFonts w:hint="eastAsia" w:ascii="仿宋" w:hAnsi="仿宋" w:eastAsia="仿宋" w:cs="仿宋"/>
                <w:color w:val="auto"/>
                <w:sz w:val="24"/>
                <w:szCs w:val="24"/>
                <w:highlight w:val="none"/>
              </w:rPr>
              <w:t>是否允许负偏离：☑不允许   □允许</w:t>
            </w:r>
          </w:p>
        </w:tc>
      </w:tr>
      <w:tr w14:paraId="734AA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09" w:type="dxa"/>
            <w:noWrap w:val="0"/>
            <w:vAlign w:val="center"/>
          </w:tcPr>
          <w:p w14:paraId="5E9AFB5D">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16</w:t>
            </w:r>
          </w:p>
        </w:tc>
        <w:tc>
          <w:tcPr>
            <w:tcW w:w="1900" w:type="dxa"/>
            <w:shd w:val="clear" w:color="auto" w:fill="auto"/>
            <w:noWrap w:val="0"/>
            <w:vAlign w:val="center"/>
          </w:tcPr>
          <w:p w14:paraId="14575B77">
            <w:pPr>
              <w:keepNext w:val="0"/>
              <w:keepLines w:val="0"/>
              <w:suppressLineNumbers w:val="0"/>
              <w:spacing w:before="0" w:beforeAutospacing="0" w:after="0" w:afterAutospacing="0"/>
              <w:ind w:left="0" w:leftChars="0" w:right="0" w:rightChar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服务地点</w:t>
            </w:r>
          </w:p>
        </w:tc>
        <w:tc>
          <w:tcPr>
            <w:tcW w:w="6747" w:type="dxa"/>
            <w:shd w:val="clear" w:color="auto" w:fill="auto"/>
            <w:noWrap w:val="0"/>
            <w:vAlign w:val="center"/>
          </w:tcPr>
          <w:p w14:paraId="243EB4BF">
            <w:pPr>
              <w:keepNext w:val="0"/>
              <w:keepLines w:val="0"/>
              <w:suppressLineNumbers w:val="0"/>
              <w:spacing w:before="0" w:beforeAutospacing="0" w:after="0" w:afterAutospacing="0"/>
              <w:ind w:left="0" w:leftChars="0" w:right="0" w:rightChars="0"/>
              <w:jc w:val="left"/>
              <w:rPr>
                <w:rFonts w:hint="eastAsia" w:ascii="仿宋" w:hAnsi="仿宋" w:eastAsia="仿宋" w:cs="仿宋"/>
                <w:b/>
                <w:bCs/>
                <w:color w:val="000000"/>
                <w:kern w:val="2"/>
                <w:sz w:val="24"/>
                <w:szCs w:val="24"/>
                <w:lang w:val="en-US" w:eastAsia="zh-CN" w:bidi="ar-SA"/>
              </w:rPr>
            </w:pPr>
            <w:r>
              <w:rPr>
                <w:rFonts w:hint="eastAsia" w:ascii="仿宋" w:hAnsi="仿宋" w:eastAsia="仿宋" w:cs="仿宋"/>
                <w:b/>
                <w:bCs/>
                <w:color w:val="000000"/>
                <w:sz w:val="24"/>
                <w:szCs w:val="24"/>
              </w:rPr>
              <w:t>中国科学技术大学</w:t>
            </w:r>
            <w:r>
              <w:rPr>
                <w:rFonts w:hint="eastAsia" w:ascii="仿宋" w:hAnsi="仿宋" w:eastAsia="仿宋" w:cs="仿宋"/>
                <w:b/>
                <w:bCs/>
                <w:color w:val="000000"/>
                <w:sz w:val="24"/>
                <w:szCs w:val="24"/>
                <w:lang w:val="en-US" w:eastAsia="zh-CN"/>
              </w:rPr>
              <w:t>东区、中区、西区、南区、北区及采购人指定地点</w:t>
            </w:r>
          </w:p>
        </w:tc>
      </w:tr>
      <w:tr w14:paraId="3D223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09" w:type="dxa"/>
            <w:noWrap w:val="0"/>
            <w:vAlign w:val="center"/>
          </w:tcPr>
          <w:p w14:paraId="426D5617">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17</w:t>
            </w:r>
          </w:p>
        </w:tc>
        <w:tc>
          <w:tcPr>
            <w:tcW w:w="1900" w:type="dxa"/>
            <w:shd w:val="clear" w:color="auto" w:fill="auto"/>
            <w:noWrap w:val="0"/>
            <w:vAlign w:val="center"/>
          </w:tcPr>
          <w:p w14:paraId="5C90C0C6">
            <w:pPr>
              <w:keepNext w:val="0"/>
              <w:keepLines w:val="0"/>
              <w:suppressLineNumbers w:val="0"/>
              <w:spacing w:before="0" w:beforeAutospacing="0" w:after="0" w:afterAutospacing="0"/>
              <w:ind w:left="0" w:leftChars="0" w:right="0" w:rightChar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质量要求</w:t>
            </w:r>
          </w:p>
        </w:tc>
        <w:tc>
          <w:tcPr>
            <w:tcW w:w="6747" w:type="dxa"/>
            <w:shd w:val="clear" w:color="auto" w:fill="auto"/>
            <w:noWrap w:val="0"/>
            <w:vAlign w:val="center"/>
          </w:tcPr>
          <w:p w14:paraId="7F8EBEC0">
            <w:pPr>
              <w:keepNext w:val="0"/>
              <w:keepLines w:val="0"/>
              <w:widowControl/>
              <w:suppressLineNumbers w:val="0"/>
              <w:spacing w:before="0" w:beforeAutospacing="0" w:after="0" w:afterAutospacing="0"/>
              <w:ind w:left="0" w:leftChars="0" w:right="0" w:rightChars="0"/>
              <w:jc w:val="left"/>
              <w:rPr>
                <w:rFonts w:hint="eastAsia" w:ascii="仿宋" w:hAnsi="仿宋" w:eastAsia="仿宋" w:cs="仿宋"/>
                <w:color w:val="000000"/>
                <w:kern w:val="2"/>
                <w:sz w:val="24"/>
                <w:szCs w:val="24"/>
                <w:lang w:val="en-US" w:eastAsia="zh-CN" w:bidi="ar-SA"/>
              </w:rPr>
            </w:pPr>
            <w:r>
              <w:rPr>
                <w:rFonts w:hint="eastAsia" w:ascii="仿宋" w:hAnsi="仿宋" w:eastAsia="仿宋" w:cs="仿宋"/>
                <w:bCs/>
                <w:color w:val="000000"/>
                <w:sz w:val="24"/>
                <w:szCs w:val="24"/>
                <w:lang w:val="en-US" w:eastAsia="zh-CN"/>
              </w:rPr>
              <w:t>合格，与投标文件及样品一致，达到采购人验收规范标准。</w:t>
            </w:r>
          </w:p>
        </w:tc>
      </w:tr>
      <w:tr w14:paraId="3260A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09" w:type="dxa"/>
            <w:noWrap w:val="0"/>
            <w:vAlign w:val="center"/>
          </w:tcPr>
          <w:p w14:paraId="695977F5">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18</w:t>
            </w:r>
          </w:p>
        </w:tc>
        <w:tc>
          <w:tcPr>
            <w:tcW w:w="1900" w:type="dxa"/>
            <w:shd w:val="clear" w:color="auto" w:fill="auto"/>
            <w:noWrap w:val="0"/>
            <w:vAlign w:val="center"/>
          </w:tcPr>
          <w:p w14:paraId="1F185CE6">
            <w:pPr>
              <w:keepNext w:val="0"/>
              <w:keepLines w:val="0"/>
              <w:suppressLineNumbers w:val="0"/>
              <w:spacing w:before="0" w:beforeAutospacing="0" w:after="0" w:afterAutospacing="0"/>
              <w:ind w:left="0" w:leftChars="0" w:right="0" w:rightChar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质保期限</w:t>
            </w:r>
          </w:p>
        </w:tc>
        <w:tc>
          <w:tcPr>
            <w:tcW w:w="6747" w:type="dxa"/>
            <w:shd w:val="clear" w:color="auto" w:fill="auto"/>
            <w:noWrap w:val="0"/>
            <w:vAlign w:val="center"/>
          </w:tcPr>
          <w:p w14:paraId="64541042">
            <w:pPr>
              <w:keepNext w:val="0"/>
              <w:keepLines w:val="0"/>
              <w:widowControl/>
              <w:suppressLineNumbers w:val="0"/>
              <w:spacing w:before="0" w:beforeAutospacing="0" w:after="0" w:afterAutospacing="0"/>
              <w:ind w:left="0" w:leftChars="0" w:right="0" w:rightChars="0"/>
              <w:jc w:val="left"/>
              <w:rPr>
                <w:rFonts w:hint="eastAsia" w:ascii="仿宋" w:hAnsi="仿宋" w:eastAsia="仿宋" w:cs="仿宋"/>
                <w:b/>
                <w:bCs/>
                <w:color w:val="000000"/>
                <w:kern w:val="2"/>
                <w:sz w:val="24"/>
                <w:szCs w:val="24"/>
                <w:highlight w:val="yellow"/>
                <w:lang w:val="en-US" w:eastAsia="zh-CN" w:bidi="ar-SA"/>
              </w:rPr>
            </w:pPr>
            <w:r>
              <w:rPr>
                <w:rFonts w:hint="eastAsia" w:ascii="仿宋" w:hAnsi="仿宋" w:eastAsia="仿宋" w:cs="仿宋"/>
                <w:bCs/>
                <w:color w:val="000000"/>
                <w:sz w:val="24"/>
                <w:szCs w:val="24"/>
                <w:lang w:val="en-US" w:eastAsia="zh-CN"/>
              </w:rPr>
              <w:t>验收合格后2年。</w:t>
            </w:r>
          </w:p>
        </w:tc>
      </w:tr>
      <w:tr w14:paraId="2085F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09" w:type="dxa"/>
            <w:noWrap w:val="0"/>
            <w:vAlign w:val="center"/>
          </w:tcPr>
          <w:p w14:paraId="7022889B">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19</w:t>
            </w:r>
          </w:p>
        </w:tc>
        <w:tc>
          <w:tcPr>
            <w:tcW w:w="1900" w:type="dxa"/>
            <w:shd w:val="clear" w:color="auto" w:fill="auto"/>
            <w:noWrap w:val="0"/>
            <w:vAlign w:val="center"/>
          </w:tcPr>
          <w:p w14:paraId="4BBE60B3">
            <w:pPr>
              <w:keepNext w:val="0"/>
              <w:keepLines w:val="0"/>
              <w:suppressLineNumbers w:val="0"/>
              <w:spacing w:before="0" w:beforeAutospacing="0" w:after="0" w:afterAutospacing="0"/>
              <w:ind w:left="0" w:leftChars="0" w:right="0" w:rightChars="0"/>
              <w:jc w:val="center"/>
              <w:rPr>
                <w:rFonts w:hint="eastAsia" w:ascii="仿宋" w:hAnsi="仿宋" w:eastAsia="仿宋" w:cs="仿宋"/>
                <w:bCs/>
                <w:color w:val="000000"/>
                <w:kern w:val="2"/>
                <w:sz w:val="24"/>
                <w:szCs w:val="24"/>
                <w:lang w:val="en-US" w:eastAsia="zh-CN" w:bidi="ar-SA"/>
              </w:rPr>
            </w:pPr>
            <w:r>
              <w:rPr>
                <w:rFonts w:hint="eastAsia" w:ascii="仿宋" w:hAnsi="仿宋" w:eastAsia="仿宋" w:cs="仿宋"/>
                <w:bCs/>
                <w:color w:val="000000"/>
                <w:sz w:val="24"/>
                <w:szCs w:val="24"/>
                <w:lang w:val="en-US" w:eastAsia="zh-CN"/>
              </w:rPr>
              <w:t>供应商不得存在的其他情形</w:t>
            </w:r>
          </w:p>
        </w:tc>
        <w:tc>
          <w:tcPr>
            <w:tcW w:w="6747" w:type="dxa"/>
            <w:shd w:val="clear" w:color="auto" w:fill="auto"/>
            <w:noWrap w:val="0"/>
            <w:vAlign w:val="center"/>
          </w:tcPr>
          <w:p w14:paraId="243E228D">
            <w:pPr>
              <w:keepNext w:val="0"/>
              <w:keepLines w:val="0"/>
              <w:widowControl/>
              <w:suppressLineNumbers w:val="0"/>
              <w:spacing w:before="0" w:beforeAutospacing="0" w:after="0" w:afterAutospacing="0"/>
              <w:ind w:left="0" w:leftChars="0" w:right="0" w:rightChars="0"/>
              <w:jc w:val="left"/>
              <w:rPr>
                <w:rFonts w:hint="eastAsia" w:ascii="仿宋" w:hAnsi="仿宋" w:eastAsia="仿宋" w:cs="仿宋"/>
                <w:bCs/>
                <w:color w:val="000000"/>
                <w:kern w:val="2"/>
                <w:sz w:val="24"/>
                <w:szCs w:val="24"/>
                <w:lang w:val="en-US" w:eastAsia="zh-CN" w:bidi="ar-SA"/>
              </w:rPr>
            </w:pPr>
            <w:r>
              <w:rPr>
                <w:rFonts w:hint="eastAsia" w:ascii="仿宋" w:hAnsi="仿宋" w:eastAsia="仿宋" w:cs="仿宋"/>
                <w:bCs/>
                <w:color w:val="000000"/>
                <w:sz w:val="24"/>
                <w:szCs w:val="24"/>
                <w:lang w:val="en-US" w:eastAsia="zh-CN"/>
              </w:rPr>
              <w:t>详见供应商须知正文。</w:t>
            </w:r>
          </w:p>
        </w:tc>
      </w:tr>
      <w:tr w14:paraId="46C2F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09" w:type="dxa"/>
            <w:noWrap w:val="0"/>
            <w:vAlign w:val="center"/>
          </w:tcPr>
          <w:p w14:paraId="5735F93B">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20</w:t>
            </w:r>
          </w:p>
        </w:tc>
        <w:tc>
          <w:tcPr>
            <w:tcW w:w="1900" w:type="dxa"/>
            <w:shd w:val="clear" w:color="auto" w:fill="auto"/>
            <w:noWrap w:val="0"/>
            <w:vAlign w:val="center"/>
          </w:tcPr>
          <w:p w14:paraId="5C7F487C">
            <w:pPr>
              <w:keepNext w:val="0"/>
              <w:keepLines w:val="0"/>
              <w:suppressLineNumbers w:val="0"/>
              <w:spacing w:before="0" w:beforeAutospacing="0" w:after="0" w:afterAutospacing="0"/>
              <w:ind w:left="0" w:leftChars="0" w:right="0" w:rightChars="0"/>
              <w:jc w:val="center"/>
              <w:rPr>
                <w:rFonts w:hint="eastAsia" w:ascii="仿宋" w:hAnsi="仿宋" w:eastAsia="仿宋" w:cs="仿宋"/>
                <w:bCs/>
                <w:color w:val="000000"/>
                <w:kern w:val="2"/>
                <w:sz w:val="24"/>
                <w:szCs w:val="24"/>
                <w:lang w:val="en-US" w:eastAsia="zh-CN" w:bidi="ar-SA"/>
              </w:rPr>
            </w:pPr>
            <w:r>
              <w:rPr>
                <w:rFonts w:hint="eastAsia" w:ascii="仿宋" w:hAnsi="仿宋" w:eastAsia="仿宋" w:cs="仿宋"/>
                <w:bCs/>
                <w:color w:val="000000"/>
                <w:sz w:val="24"/>
                <w:szCs w:val="24"/>
              </w:rPr>
              <w:t>勘察现场</w:t>
            </w:r>
          </w:p>
        </w:tc>
        <w:tc>
          <w:tcPr>
            <w:tcW w:w="6747" w:type="dxa"/>
            <w:shd w:val="clear" w:color="auto" w:fill="auto"/>
            <w:noWrap w:val="0"/>
            <w:vAlign w:val="center"/>
          </w:tcPr>
          <w:p w14:paraId="1AD83C26">
            <w:pPr>
              <w:keepNext w:val="0"/>
              <w:keepLines w:val="0"/>
              <w:suppressLineNumbers w:val="0"/>
              <w:spacing w:before="0" w:beforeAutospacing="0" w:after="0" w:afterAutospacing="0"/>
              <w:ind w:left="0" w:leftChars="0" w:right="0" w:rightChars="0"/>
              <w:jc w:val="left"/>
              <w:rPr>
                <w:rFonts w:hint="eastAsia" w:ascii="仿宋" w:hAnsi="仿宋" w:eastAsia="仿宋" w:cs="仿宋"/>
                <w:bCs/>
                <w:color w:val="000000"/>
                <w:kern w:val="2"/>
                <w:sz w:val="24"/>
                <w:szCs w:val="24"/>
                <w:lang w:val="en-US" w:eastAsia="zh-CN" w:bidi="ar-SA"/>
              </w:rPr>
            </w:pPr>
            <w:r>
              <w:rPr>
                <w:rFonts w:hint="eastAsia" w:ascii="仿宋" w:hAnsi="仿宋" w:eastAsia="仿宋" w:cs="仿宋"/>
                <w:bCs/>
                <w:color w:val="000000"/>
                <w:sz w:val="24"/>
                <w:szCs w:val="24"/>
              </w:rPr>
              <w:t xml:space="preserve">自行勘察 </w:t>
            </w:r>
          </w:p>
        </w:tc>
      </w:tr>
      <w:tr w14:paraId="1FF0A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09" w:type="dxa"/>
            <w:noWrap w:val="0"/>
            <w:vAlign w:val="center"/>
          </w:tcPr>
          <w:p w14:paraId="128A9008">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21</w:t>
            </w:r>
          </w:p>
        </w:tc>
        <w:tc>
          <w:tcPr>
            <w:tcW w:w="1900" w:type="dxa"/>
            <w:shd w:val="clear" w:color="auto" w:fill="auto"/>
            <w:noWrap w:val="0"/>
            <w:vAlign w:val="center"/>
          </w:tcPr>
          <w:p w14:paraId="41B4755E">
            <w:pPr>
              <w:keepNext w:val="0"/>
              <w:keepLines w:val="0"/>
              <w:widowControl/>
              <w:suppressLineNumbers w:val="0"/>
              <w:adjustRightInd w:val="0"/>
              <w:snapToGrid w:val="0"/>
              <w:spacing w:before="0" w:beforeAutospacing="0" w:after="0" w:afterAutospacing="0" w:line="288" w:lineRule="auto"/>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磋商前答疑会</w:t>
            </w:r>
          </w:p>
        </w:tc>
        <w:tc>
          <w:tcPr>
            <w:tcW w:w="6747" w:type="dxa"/>
            <w:shd w:val="clear" w:color="auto" w:fill="auto"/>
            <w:noWrap w:val="0"/>
            <w:vAlign w:val="center"/>
          </w:tcPr>
          <w:p w14:paraId="55520671">
            <w:pPr>
              <w:keepNext w:val="0"/>
              <w:keepLines w:val="0"/>
              <w:widowControl/>
              <w:suppressLineNumbers w:val="0"/>
              <w:topLinePunct/>
              <w:adjustRightInd w:val="0"/>
              <w:snapToGrid w:val="0"/>
              <w:spacing w:before="0" w:beforeAutospacing="0" w:after="0" w:afterAutospacing="0" w:line="288" w:lineRule="auto"/>
              <w:ind w:left="171" w:leftChars="0" w:right="0" w:hanging="171" w:hangingChars="78"/>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☑不召开   □召开</w:t>
            </w:r>
          </w:p>
        </w:tc>
      </w:tr>
      <w:tr w14:paraId="4D403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09" w:type="dxa"/>
            <w:noWrap w:val="0"/>
            <w:vAlign w:val="center"/>
          </w:tcPr>
          <w:p w14:paraId="6B2DA8C8">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22</w:t>
            </w:r>
          </w:p>
        </w:tc>
        <w:tc>
          <w:tcPr>
            <w:tcW w:w="1900" w:type="dxa"/>
            <w:shd w:val="clear" w:color="auto" w:fill="auto"/>
            <w:noWrap w:val="0"/>
            <w:vAlign w:val="center"/>
          </w:tcPr>
          <w:p w14:paraId="662AAE96">
            <w:pPr>
              <w:keepNext w:val="0"/>
              <w:keepLines w:val="0"/>
              <w:widowControl/>
              <w:suppressLineNumbers w:val="0"/>
              <w:adjustRightInd w:val="0"/>
              <w:snapToGrid w:val="0"/>
              <w:spacing w:before="0" w:beforeAutospacing="0" w:after="0" w:afterAutospacing="0" w:line="288" w:lineRule="auto"/>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分包</w:t>
            </w:r>
          </w:p>
        </w:tc>
        <w:tc>
          <w:tcPr>
            <w:tcW w:w="6747" w:type="dxa"/>
            <w:shd w:val="clear" w:color="auto" w:fill="auto"/>
            <w:noWrap w:val="0"/>
            <w:vAlign w:val="center"/>
          </w:tcPr>
          <w:p w14:paraId="79847248">
            <w:pPr>
              <w:keepNext w:val="0"/>
              <w:keepLines w:val="0"/>
              <w:widowControl/>
              <w:suppressLineNumbers w:val="0"/>
              <w:topLinePunct/>
              <w:adjustRightInd w:val="0"/>
              <w:snapToGrid w:val="0"/>
              <w:spacing w:before="0" w:beforeAutospacing="0" w:after="0" w:afterAutospacing="0" w:line="288" w:lineRule="auto"/>
              <w:ind w:left="171" w:leftChars="0" w:right="0" w:hanging="171" w:hangingChars="78"/>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☑不允许   □允许</w:t>
            </w:r>
          </w:p>
        </w:tc>
      </w:tr>
      <w:tr w14:paraId="7D382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09" w:type="dxa"/>
            <w:noWrap w:val="0"/>
            <w:vAlign w:val="center"/>
          </w:tcPr>
          <w:p w14:paraId="5E8DDB3B">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23</w:t>
            </w:r>
          </w:p>
        </w:tc>
        <w:tc>
          <w:tcPr>
            <w:tcW w:w="1900" w:type="dxa"/>
            <w:shd w:val="clear" w:color="auto" w:fill="auto"/>
            <w:noWrap w:val="0"/>
            <w:vAlign w:val="center"/>
          </w:tcPr>
          <w:p w14:paraId="4E1FA973">
            <w:pPr>
              <w:keepNext w:val="0"/>
              <w:keepLines w:val="0"/>
              <w:widowControl/>
              <w:suppressLineNumbers w:val="0"/>
              <w:adjustRightInd w:val="0"/>
              <w:snapToGrid w:val="0"/>
              <w:spacing w:before="0" w:beforeAutospacing="0" w:after="0" w:afterAutospacing="0" w:line="288" w:lineRule="auto"/>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样品</w:t>
            </w:r>
          </w:p>
        </w:tc>
        <w:tc>
          <w:tcPr>
            <w:tcW w:w="6747" w:type="dxa"/>
            <w:shd w:val="clear" w:color="auto" w:fill="auto"/>
            <w:noWrap w:val="0"/>
            <w:vAlign w:val="center"/>
          </w:tcPr>
          <w:p w14:paraId="6A6F4192">
            <w:pPr>
              <w:keepNext w:val="0"/>
              <w:keepLines w:val="0"/>
              <w:widowControl/>
              <w:suppressLineNumbers w:val="0"/>
              <w:adjustRightInd w:val="0"/>
              <w:snapToGrid w:val="0"/>
              <w:spacing w:before="0" w:beforeAutospacing="0" w:after="0" w:afterAutospacing="0" w:line="288" w:lineRule="auto"/>
              <w:ind w:left="0" w:right="0"/>
              <w:rPr>
                <w:rFonts w:hint="eastAsia" w:ascii="仿宋" w:hAnsi="仿宋" w:eastAsia="仿宋" w:cs="仿宋"/>
                <w:color w:val="auto"/>
                <w:kern w:val="2"/>
                <w:sz w:val="24"/>
                <w:szCs w:val="24"/>
                <w:highlight w:val="none"/>
                <w:u w:val="single"/>
                <w:lang w:val="en-US" w:eastAsia="zh-CN" w:bidi="ar-SA"/>
              </w:rPr>
            </w:pPr>
            <w:r>
              <w:rPr>
                <w:rFonts w:hint="eastAsia" w:ascii="仿宋" w:hAnsi="仿宋" w:eastAsia="仿宋" w:cs="仿宋"/>
                <w:bCs/>
                <w:color w:val="auto"/>
                <w:sz w:val="24"/>
                <w:szCs w:val="24"/>
                <w:highlight w:val="none"/>
              </w:rPr>
              <w:t>是否要求供应商提交样品：</w:t>
            </w:r>
            <w:r>
              <w:rPr>
                <w:rFonts w:hint="eastAsia" w:ascii="仿宋" w:hAnsi="仿宋" w:eastAsia="仿宋" w:cs="仿宋"/>
                <w:color w:val="auto"/>
                <w:sz w:val="24"/>
                <w:szCs w:val="24"/>
                <w:highlight w:val="none"/>
              </w:rPr>
              <w:t>☑否   □是</w:t>
            </w:r>
          </w:p>
        </w:tc>
      </w:tr>
      <w:tr w14:paraId="4C1E5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9" w:type="dxa"/>
            <w:noWrap w:val="0"/>
            <w:vAlign w:val="center"/>
          </w:tcPr>
          <w:p w14:paraId="12666E90">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24</w:t>
            </w:r>
          </w:p>
        </w:tc>
        <w:tc>
          <w:tcPr>
            <w:tcW w:w="1900" w:type="dxa"/>
            <w:shd w:val="clear" w:color="auto" w:fill="auto"/>
            <w:noWrap w:val="0"/>
            <w:vAlign w:val="center"/>
          </w:tcPr>
          <w:p w14:paraId="1E6F1E7E">
            <w:pPr>
              <w:keepNext w:val="0"/>
              <w:keepLines w:val="0"/>
              <w:widowControl/>
              <w:suppressLineNumbers w:val="0"/>
              <w:adjustRightInd w:val="0"/>
              <w:snapToGrid w:val="0"/>
              <w:spacing w:before="0" w:beforeAutospacing="0" w:after="0" w:afterAutospacing="0" w:line="288" w:lineRule="auto"/>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响应报价包括的内容</w:t>
            </w:r>
          </w:p>
        </w:tc>
        <w:tc>
          <w:tcPr>
            <w:tcW w:w="6747" w:type="dxa"/>
            <w:shd w:val="clear" w:color="auto" w:fill="auto"/>
            <w:noWrap w:val="0"/>
            <w:vAlign w:val="center"/>
          </w:tcPr>
          <w:p w14:paraId="103F8847">
            <w:pPr>
              <w:keepNext w:val="0"/>
              <w:keepLines w:val="0"/>
              <w:widowControl/>
              <w:suppressLineNumbers w:val="0"/>
              <w:adjustRightInd w:val="0"/>
              <w:snapToGrid w:val="0"/>
              <w:spacing w:before="0" w:beforeAutospacing="0" w:after="0" w:afterAutospacing="0" w:line="288" w:lineRule="auto"/>
              <w:ind w:left="0" w:right="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供应商应仔细阅读本磋商文件中所有条款，磋商文件作为合同的一部分，所有需要供应商承担的费用和履行的义务等都包含在响应报价内。</w:t>
            </w:r>
          </w:p>
        </w:tc>
      </w:tr>
      <w:tr w14:paraId="31613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09" w:type="dxa"/>
            <w:noWrap w:val="0"/>
            <w:vAlign w:val="center"/>
          </w:tcPr>
          <w:p w14:paraId="690806AA">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25</w:t>
            </w:r>
          </w:p>
        </w:tc>
        <w:tc>
          <w:tcPr>
            <w:tcW w:w="1900" w:type="dxa"/>
            <w:shd w:val="clear" w:color="auto" w:fill="auto"/>
            <w:noWrap w:val="0"/>
            <w:vAlign w:val="center"/>
          </w:tcPr>
          <w:p w14:paraId="7EDEDE20">
            <w:pPr>
              <w:keepNext w:val="0"/>
              <w:keepLines w:val="0"/>
              <w:widowControl/>
              <w:suppressLineNumbers w:val="0"/>
              <w:adjustRightInd w:val="0"/>
              <w:snapToGrid w:val="0"/>
              <w:spacing w:before="0" w:beforeAutospacing="0" w:after="0" w:afterAutospacing="0" w:line="288" w:lineRule="auto"/>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响应报价的其他要求</w:t>
            </w:r>
          </w:p>
        </w:tc>
        <w:tc>
          <w:tcPr>
            <w:tcW w:w="6747" w:type="dxa"/>
            <w:shd w:val="clear" w:color="auto" w:fill="auto"/>
            <w:noWrap w:val="0"/>
            <w:vAlign w:val="center"/>
          </w:tcPr>
          <w:p w14:paraId="55332E05">
            <w:pPr>
              <w:pStyle w:val="36"/>
              <w:keepNext w:val="0"/>
              <w:keepLines w:val="0"/>
              <w:suppressLineNumbers w:val="0"/>
              <w:snapToGrid w:val="0"/>
              <w:spacing w:before="0" w:beforeAutospacing="0" w:after="0" w:afterAutospacing="0" w:line="240" w:lineRule="auto"/>
              <w:ind w:left="0" w:right="0"/>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val="0"/>
                <w:color w:val="auto"/>
                <w:sz w:val="24"/>
                <w:szCs w:val="24"/>
                <w:highlight w:val="none"/>
              </w:rPr>
              <w:t>除磋商文件另有规定外，供应商所报的价格在合同执行过程中固定不变，不得以任何理由予以变更。</w:t>
            </w:r>
          </w:p>
        </w:tc>
      </w:tr>
      <w:tr w14:paraId="33A2A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09" w:type="dxa"/>
            <w:noWrap w:val="0"/>
            <w:vAlign w:val="center"/>
          </w:tcPr>
          <w:p w14:paraId="7536920F">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26</w:t>
            </w:r>
          </w:p>
        </w:tc>
        <w:tc>
          <w:tcPr>
            <w:tcW w:w="1900" w:type="dxa"/>
            <w:shd w:val="clear" w:color="auto" w:fill="auto"/>
            <w:noWrap w:val="0"/>
            <w:vAlign w:val="center"/>
          </w:tcPr>
          <w:p w14:paraId="3D508715">
            <w:pPr>
              <w:keepNext w:val="0"/>
              <w:keepLines w:val="0"/>
              <w:widowControl/>
              <w:suppressLineNumbers w:val="0"/>
              <w:adjustRightInd w:val="0"/>
              <w:snapToGrid w:val="0"/>
              <w:spacing w:before="0" w:beforeAutospacing="0" w:after="0" w:afterAutospacing="0" w:line="288" w:lineRule="auto"/>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响应文件签字盖章要求</w:t>
            </w:r>
          </w:p>
        </w:tc>
        <w:tc>
          <w:tcPr>
            <w:tcW w:w="6747" w:type="dxa"/>
            <w:shd w:val="clear" w:color="auto" w:fill="auto"/>
            <w:noWrap w:val="0"/>
            <w:vAlign w:val="center"/>
          </w:tcPr>
          <w:p w14:paraId="5749484F">
            <w:pPr>
              <w:keepNext w:val="0"/>
              <w:keepLines w:val="0"/>
              <w:widowControl/>
              <w:suppressLineNumbers w:val="0"/>
              <w:topLinePunct/>
              <w:adjustRightInd w:val="0"/>
              <w:snapToGrid w:val="0"/>
              <w:spacing w:before="0" w:beforeAutospacing="0" w:after="0" w:afterAutospacing="0" w:line="288" w:lineRule="auto"/>
              <w:ind w:left="0" w:right="0"/>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color w:val="auto"/>
                <w:sz w:val="24"/>
                <w:szCs w:val="24"/>
                <w:highlight w:val="none"/>
              </w:rPr>
              <w:t>符合磋商文件规定的响应文件格式要求</w:t>
            </w:r>
          </w:p>
        </w:tc>
      </w:tr>
      <w:tr w14:paraId="080A6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83" w:hRule="atLeast"/>
          <w:jc w:val="center"/>
        </w:trPr>
        <w:tc>
          <w:tcPr>
            <w:tcW w:w="709" w:type="dxa"/>
            <w:noWrap w:val="0"/>
            <w:vAlign w:val="center"/>
          </w:tcPr>
          <w:p w14:paraId="343A7C0C">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27</w:t>
            </w:r>
          </w:p>
        </w:tc>
        <w:tc>
          <w:tcPr>
            <w:tcW w:w="1900" w:type="dxa"/>
            <w:shd w:val="clear" w:color="auto" w:fill="auto"/>
            <w:noWrap w:val="0"/>
            <w:vAlign w:val="center"/>
          </w:tcPr>
          <w:p w14:paraId="159386C3">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rPr>
            </w:pPr>
            <w:r>
              <w:rPr>
                <w:rFonts w:hint="eastAsia" w:ascii="仿宋" w:hAnsi="仿宋" w:eastAsia="仿宋" w:cs="仿宋"/>
                <w:color w:val="000000"/>
                <w:sz w:val="24"/>
                <w:szCs w:val="24"/>
              </w:rPr>
              <w:t>响应文件</w:t>
            </w:r>
          </w:p>
          <w:p w14:paraId="3D4DB9B8">
            <w:pPr>
              <w:keepNext w:val="0"/>
              <w:keepLines w:val="0"/>
              <w:suppressLineNumbers w:val="0"/>
              <w:spacing w:before="0" w:beforeAutospacing="0" w:after="0" w:afterAutospacing="0"/>
              <w:ind w:left="0" w:leftChars="0" w:right="0" w:rightChars="0"/>
              <w:jc w:val="center"/>
              <w:rPr>
                <w:rFonts w:hint="eastAsia" w:ascii="仿宋" w:hAnsi="仿宋" w:eastAsia="仿宋" w:cs="仿宋"/>
                <w:bCs/>
                <w:color w:val="000000"/>
                <w:kern w:val="2"/>
                <w:sz w:val="24"/>
                <w:szCs w:val="24"/>
                <w:lang w:val="en-US" w:eastAsia="zh-CN" w:bidi="ar-SA"/>
              </w:rPr>
            </w:pPr>
            <w:r>
              <w:rPr>
                <w:rFonts w:hint="eastAsia" w:ascii="仿宋" w:hAnsi="仿宋" w:eastAsia="仿宋" w:cs="仿宋"/>
                <w:color w:val="000000"/>
                <w:sz w:val="24"/>
                <w:szCs w:val="24"/>
              </w:rPr>
              <w:t>份数及要求</w:t>
            </w:r>
          </w:p>
        </w:tc>
        <w:tc>
          <w:tcPr>
            <w:tcW w:w="6747" w:type="dxa"/>
            <w:shd w:val="clear" w:color="auto" w:fill="auto"/>
            <w:noWrap w:val="0"/>
            <w:vAlign w:val="center"/>
          </w:tcPr>
          <w:p w14:paraId="1050B7D5">
            <w:pPr>
              <w:keepNext w:val="0"/>
              <w:keepLines w:val="0"/>
              <w:widowControl/>
              <w:numPr>
                <w:ilvl w:val="0"/>
                <w:numId w:val="0"/>
              </w:numPr>
              <w:suppressLineNumbers w:val="0"/>
              <w:adjustRightInd w:val="0"/>
              <w:snapToGrid w:val="0"/>
              <w:spacing w:before="0" w:beforeAutospacing="0" w:after="0" w:afterAutospacing="0" w:line="360" w:lineRule="auto"/>
              <w:ind w:left="0" w:leftChars="0" w:right="0" w:rightChars="0" w:firstLine="0" w:firstLineChars="0"/>
              <w:rPr>
                <w:rFonts w:hint="eastAsia" w:ascii="仿宋" w:hAnsi="仿宋" w:eastAsia="仿宋" w:cs="仿宋"/>
                <w:bCs/>
                <w:color w:val="000000"/>
                <w:kern w:val="2"/>
                <w:sz w:val="24"/>
                <w:szCs w:val="24"/>
                <w:lang w:val="en-US" w:eastAsia="zh-CN" w:bidi="ar-SA"/>
              </w:rPr>
            </w:pPr>
            <w:r>
              <w:rPr>
                <w:rFonts w:hint="eastAsia" w:ascii="仿宋" w:hAnsi="仿宋" w:eastAsia="仿宋" w:cs="仿宋"/>
                <w:b/>
                <w:bCs/>
                <w:color w:val="000000"/>
                <w:sz w:val="24"/>
                <w:szCs w:val="24"/>
                <w:highlight w:val="yellow"/>
              </w:rPr>
              <w:t>纸质正本</w:t>
            </w:r>
            <w:r>
              <w:rPr>
                <w:rFonts w:hint="eastAsia" w:ascii="仿宋" w:hAnsi="仿宋" w:eastAsia="仿宋" w:cs="仿宋"/>
                <w:b/>
                <w:bCs/>
                <w:color w:val="000000"/>
                <w:sz w:val="24"/>
                <w:szCs w:val="24"/>
                <w:highlight w:val="yellow"/>
                <w:lang w:val="en-US" w:eastAsia="zh-CN"/>
              </w:rPr>
              <w:t>1</w:t>
            </w:r>
            <w:r>
              <w:rPr>
                <w:rFonts w:hint="eastAsia" w:ascii="仿宋" w:hAnsi="仿宋" w:eastAsia="仿宋" w:cs="仿宋"/>
                <w:b/>
                <w:bCs/>
                <w:color w:val="000000"/>
                <w:sz w:val="24"/>
                <w:szCs w:val="24"/>
                <w:highlight w:val="yellow"/>
              </w:rPr>
              <w:t>份，</w:t>
            </w:r>
            <w:r>
              <w:rPr>
                <w:rFonts w:hint="eastAsia" w:ascii="仿宋" w:hAnsi="仿宋" w:eastAsia="仿宋" w:cs="仿宋"/>
                <w:b/>
                <w:bCs/>
                <w:color w:val="000000"/>
                <w:sz w:val="24"/>
                <w:szCs w:val="24"/>
                <w:highlight w:val="yellow"/>
                <w:lang w:val="en-US" w:eastAsia="zh-CN"/>
              </w:rPr>
              <w:t>副本2份，</w:t>
            </w:r>
            <w:r>
              <w:rPr>
                <w:rFonts w:hint="eastAsia" w:ascii="仿宋" w:hAnsi="仿宋" w:eastAsia="仿宋" w:cs="仿宋"/>
                <w:b/>
                <w:bCs/>
                <w:color w:val="000000"/>
                <w:sz w:val="24"/>
                <w:szCs w:val="24"/>
                <w:highlight w:val="yellow"/>
              </w:rPr>
              <w:t>双面打印，每页加盖供应商公章和骑缝章。密封提交，密封袋注明项目名称并加盖供应商公章。</w:t>
            </w:r>
            <w:r>
              <w:rPr>
                <w:rFonts w:hint="eastAsia" w:ascii="仿宋" w:hAnsi="仿宋" w:eastAsia="仿宋" w:cs="仿宋"/>
                <w:b/>
                <w:bCs/>
                <w:color w:val="000000"/>
                <w:sz w:val="24"/>
                <w:szCs w:val="24"/>
                <w:highlight w:val="yellow"/>
                <w:lang w:val="en-US" w:eastAsia="zh-CN"/>
              </w:rPr>
              <w:t>于</w:t>
            </w:r>
            <w:bookmarkStart w:id="685" w:name="_GoBack"/>
            <w:bookmarkEnd w:id="685"/>
            <w:r>
              <w:rPr>
                <w:rFonts w:hint="eastAsia" w:ascii="仿宋" w:hAnsi="仿宋" w:eastAsia="仿宋" w:cs="仿宋"/>
                <w:b/>
                <w:bCs/>
                <w:color w:val="000000"/>
                <w:sz w:val="24"/>
                <w:szCs w:val="24"/>
                <w:highlight w:val="yellow"/>
              </w:rPr>
              <w:t>现场递交响应文件，地址为:安徽省合肥市包河区金寨路96号中国科大东校区</w:t>
            </w:r>
            <w:r>
              <w:rPr>
                <w:rFonts w:hint="eastAsia" w:ascii="仿宋" w:hAnsi="仿宋" w:eastAsia="仿宋" w:cs="仿宋"/>
                <w:b/>
                <w:bCs/>
                <w:color w:val="000000"/>
                <w:sz w:val="24"/>
                <w:szCs w:val="24"/>
                <w:highlight w:val="yellow"/>
                <w:lang w:val="en-US" w:eastAsia="zh-CN"/>
              </w:rPr>
              <w:t>马克思主义学院（</w:t>
            </w:r>
            <w:r>
              <w:rPr>
                <w:rFonts w:hint="eastAsia" w:ascii="仿宋" w:hAnsi="仿宋" w:eastAsia="仿宋" w:cs="仿宋"/>
                <w:b/>
                <w:bCs/>
                <w:color w:val="000000"/>
                <w:sz w:val="24"/>
                <w:szCs w:val="24"/>
                <w:highlight w:val="yellow"/>
              </w:rPr>
              <w:t>学生服务中心</w:t>
            </w:r>
            <w:r>
              <w:rPr>
                <w:rFonts w:hint="eastAsia" w:ascii="仿宋" w:hAnsi="仿宋" w:eastAsia="仿宋" w:cs="仿宋"/>
                <w:b/>
                <w:bCs/>
                <w:color w:val="000000"/>
                <w:sz w:val="24"/>
                <w:szCs w:val="24"/>
                <w:highlight w:val="yellow"/>
                <w:lang w:eastAsia="zh-CN"/>
              </w:rPr>
              <w:t>）</w:t>
            </w:r>
            <w:r>
              <w:rPr>
                <w:rFonts w:hint="eastAsia" w:ascii="仿宋" w:hAnsi="仿宋" w:eastAsia="仿宋" w:cs="仿宋"/>
                <w:b/>
                <w:bCs/>
                <w:color w:val="000000"/>
                <w:sz w:val="24"/>
                <w:szCs w:val="24"/>
                <w:highlight w:val="yellow"/>
                <w:lang w:val="en-US" w:eastAsia="zh-CN"/>
              </w:rPr>
              <w:t>409</w:t>
            </w:r>
            <w:r>
              <w:rPr>
                <w:rFonts w:hint="eastAsia" w:ascii="仿宋" w:hAnsi="仿宋" w:eastAsia="仿宋" w:cs="仿宋"/>
                <w:b/>
                <w:bCs/>
                <w:color w:val="000000"/>
                <w:sz w:val="24"/>
                <w:szCs w:val="24"/>
                <w:highlight w:val="yellow"/>
              </w:rPr>
              <w:t>办公室，</w:t>
            </w:r>
            <w:r>
              <w:rPr>
                <w:rFonts w:hint="eastAsia" w:ascii="仿宋" w:hAnsi="仿宋" w:eastAsia="仿宋" w:cs="仿宋"/>
                <w:b/>
                <w:bCs/>
                <w:color w:val="000000"/>
                <w:sz w:val="24"/>
                <w:szCs w:val="24"/>
                <w:highlight w:val="yellow"/>
                <w:lang w:val="en-US" w:eastAsia="zh-CN"/>
              </w:rPr>
              <w:t>汪</w:t>
            </w:r>
            <w:r>
              <w:rPr>
                <w:rFonts w:hint="eastAsia" w:ascii="仿宋" w:hAnsi="仿宋" w:eastAsia="仿宋" w:cs="仿宋"/>
                <w:b/>
                <w:bCs/>
                <w:color w:val="000000"/>
                <w:sz w:val="24"/>
                <w:szCs w:val="24"/>
                <w:highlight w:val="yellow"/>
              </w:rPr>
              <w:t>老师，0551</w:t>
            </w:r>
            <w:r>
              <w:rPr>
                <w:rFonts w:hint="eastAsia" w:ascii="仿宋" w:hAnsi="仿宋" w:eastAsia="仿宋" w:cs="仿宋"/>
                <w:b/>
                <w:bCs/>
                <w:color w:val="000000"/>
                <w:sz w:val="24"/>
                <w:szCs w:val="24"/>
                <w:highlight w:val="yellow"/>
                <w:lang w:val="en-US" w:eastAsia="zh-CN"/>
              </w:rPr>
              <w:t>-63603159</w:t>
            </w:r>
            <w:r>
              <w:rPr>
                <w:rFonts w:hint="eastAsia" w:ascii="仿宋" w:hAnsi="仿宋" w:eastAsia="仿宋" w:cs="仿宋"/>
                <w:b/>
                <w:bCs/>
                <w:color w:val="000000"/>
                <w:sz w:val="24"/>
                <w:szCs w:val="24"/>
                <w:highlight w:val="yellow"/>
              </w:rPr>
              <w:t>。</w:t>
            </w:r>
          </w:p>
        </w:tc>
      </w:tr>
      <w:tr w14:paraId="14E2E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709" w:type="dxa"/>
            <w:noWrap w:val="0"/>
            <w:vAlign w:val="center"/>
          </w:tcPr>
          <w:p w14:paraId="7F81F126">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lang w:val="en-US" w:eastAsia="zh-CN"/>
              </w:rPr>
            </w:pPr>
            <w:bookmarkStart w:id="11" w:name="_Toc427016280"/>
            <w:bookmarkStart w:id="12" w:name="_Toc214693599"/>
            <w:r>
              <w:rPr>
                <w:rFonts w:hint="eastAsia" w:ascii="仿宋" w:hAnsi="仿宋" w:eastAsia="仿宋" w:cs="仿宋"/>
                <w:color w:val="000000"/>
                <w:sz w:val="24"/>
                <w:szCs w:val="24"/>
                <w:lang w:val="en-US" w:eastAsia="zh-CN"/>
              </w:rPr>
              <w:t>28</w:t>
            </w:r>
          </w:p>
        </w:tc>
        <w:tc>
          <w:tcPr>
            <w:tcW w:w="1900" w:type="dxa"/>
            <w:shd w:val="clear" w:color="auto" w:fill="auto"/>
            <w:noWrap w:val="0"/>
            <w:vAlign w:val="center"/>
          </w:tcPr>
          <w:p w14:paraId="21115A02">
            <w:pPr>
              <w:keepNext w:val="0"/>
              <w:keepLines w:val="0"/>
              <w:widowControl/>
              <w:suppressLineNumbers w:val="0"/>
              <w:adjustRightInd w:val="0"/>
              <w:snapToGrid w:val="0"/>
              <w:spacing w:before="0" w:beforeAutospacing="0" w:after="0" w:afterAutospacing="0" w:line="360" w:lineRule="auto"/>
              <w:ind w:left="0" w:leftChars="0" w:right="0" w:rightChar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响应文件封套上注明</w:t>
            </w:r>
          </w:p>
        </w:tc>
        <w:tc>
          <w:tcPr>
            <w:tcW w:w="6747" w:type="dxa"/>
            <w:shd w:val="clear" w:color="auto" w:fill="auto"/>
            <w:noWrap w:val="0"/>
            <w:vAlign w:val="center"/>
          </w:tcPr>
          <w:p w14:paraId="5A0593AA">
            <w:pPr>
              <w:keepNext w:val="0"/>
              <w:keepLines w:val="0"/>
              <w:widowControl/>
              <w:numPr>
                <w:ilvl w:val="0"/>
                <w:numId w:val="3"/>
              </w:numPr>
              <w:suppressLineNumbers w:val="0"/>
              <w:adjustRightInd w:val="0"/>
              <w:snapToGrid w:val="0"/>
              <w:spacing w:before="0" w:beforeAutospacing="0" w:after="0" w:afterAutospacing="0" w:line="360" w:lineRule="auto"/>
              <w:ind w:left="0" w:right="0"/>
              <w:rPr>
                <w:rFonts w:hint="eastAsia" w:ascii="仿宋" w:hAnsi="仿宋" w:eastAsia="仿宋" w:cs="仿宋"/>
                <w:color w:val="000000"/>
                <w:sz w:val="24"/>
                <w:szCs w:val="24"/>
              </w:rPr>
            </w:pPr>
            <w:r>
              <w:rPr>
                <w:rFonts w:hint="eastAsia" w:ascii="仿宋" w:hAnsi="仿宋" w:eastAsia="仿宋" w:cs="仿宋"/>
                <w:color w:val="000000"/>
                <w:sz w:val="24"/>
                <w:szCs w:val="24"/>
              </w:rPr>
              <w:t>项目名称，供应商名称。</w:t>
            </w:r>
          </w:p>
          <w:p w14:paraId="7FF1CD3D">
            <w:pPr>
              <w:keepNext w:val="0"/>
              <w:keepLines w:val="0"/>
              <w:widowControl/>
              <w:numPr>
                <w:ilvl w:val="0"/>
                <w:numId w:val="3"/>
              </w:numPr>
              <w:suppressLineNumbers w:val="0"/>
              <w:adjustRightInd w:val="0"/>
              <w:snapToGrid w:val="0"/>
              <w:spacing w:before="0" w:beforeAutospacing="0" w:after="0" w:afterAutospacing="0" w:line="360" w:lineRule="auto"/>
              <w:ind w:left="0" w:leftChars="0" w:right="0" w:rightChars="0"/>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如正本、副本分开密封的，注明“正本”、“副本”。</w:t>
            </w:r>
          </w:p>
        </w:tc>
      </w:tr>
      <w:tr w14:paraId="5BDC6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709" w:type="dxa"/>
            <w:noWrap w:val="0"/>
            <w:vAlign w:val="center"/>
          </w:tcPr>
          <w:p w14:paraId="51DD137A">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29</w:t>
            </w:r>
          </w:p>
        </w:tc>
        <w:tc>
          <w:tcPr>
            <w:tcW w:w="1900" w:type="dxa"/>
            <w:shd w:val="clear" w:color="auto" w:fill="auto"/>
            <w:noWrap w:val="0"/>
            <w:vAlign w:val="center"/>
          </w:tcPr>
          <w:p w14:paraId="7333C761">
            <w:pPr>
              <w:keepNext w:val="0"/>
              <w:keepLines w:val="0"/>
              <w:suppressLineNumbers w:val="0"/>
              <w:spacing w:before="0" w:beforeAutospacing="0" w:after="0" w:afterAutospacing="0"/>
              <w:ind w:left="0" w:leftChars="0" w:right="0" w:rightChar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响应文件递交截止时间及地点</w:t>
            </w:r>
          </w:p>
        </w:tc>
        <w:tc>
          <w:tcPr>
            <w:tcW w:w="6747" w:type="dxa"/>
            <w:shd w:val="clear" w:color="auto" w:fill="auto"/>
            <w:noWrap w:val="0"/>
            <w:vAlign w:val="center"/>
          </w:tcPr>
          <w:p w14:paraId="07C51325">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rPr>
            </w:pPr>
            <w:r>
              <w:rPr>
                <w:rFonts w:hint="eastAsia" w:ascii="仿宋" w:hAnsi="仿宋" w:eastAsia="仿宋" w:cs="仿宋"/>
                <w:color w:val="000000"/>
                <w:sz w:val="24"/>
                <w:szCs w:val="24"/>
              </w:rPr>
              <w:t>响应文件提交截止时间：详见磋商公告</w:t>
            </w:r>
          </w:p>
          <w:p w14:paraId="38E56D7C">
            <w:pPr>
              <w:keepNext w:val="0"/>
              <w:keepLines w:val="0"/>
              <w:suppressLineNumbers w:val="0"/>
              <w:spacing w:before="0" w:beforeAutospacing="0" w:after="0" w:afterAutospacing="0"/>
              <w:ind w:left="0" w:leftChars="0" w:right="0" w:rightChars="0"/>
              <w:jc w:val="left"/>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响应文件提交地点：详见磋商公告</w:t>
            </w:r>
          </w:p>
        </w:tc>
      </w:tr>
      <w:tr w14:paraId="1C119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709" w:type="dxa"/>
            <w:noWrap w:val="0"/>
            <w:vAlign w:val="center"/>
          </w:tcPr>
          <w:p w14:paraId="2B0A7814">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30</w:t>
            </w:r>
          </w:p>
        </w:tc>
        <w:tc>
          <w:tcPr>
            <w:tcW w:w="1900" w:type="dxa"/>
            <w:shd w:val="clear" w:color="auto" w:fill="auto"/>
            <w:noWrap w:val="0"/>
            <w:vAlign w:val="center"/>
          </w:tcPr>
          <w:p w14:paraId="606D8146">
            <w:pPr>
              <w:keepNext w:val="0"/>
              <w:keepLines w:val="0"/>
              <w:suppressLineNumbers w:val="0"/>
              <w:spacing w:before="0" w:beforeAutospacing="0" w:after="0" w:afterAutospacing="0"/>
              <w:ind w:left="0" w:leftChars="0" w:right="0" w:rightChar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开启时间及地点</w:t>
            </w:r>
          </w:p>
        </w:tc>
        <w:tc>
          <w:tcPr>
            <w:tcW w:w="6747" w:type="dxa"/>
            <w:shd w:val="clear" w:color="auto" w:fill="auto"/>
            <w:noWrap w:val="0"/>
            <w:vAlign w:val="center"/>
          </w:tcPr>
          <w:p w14:paraId="0BD68955">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rPr>
            </w:pPr>
            <w:r>
              <w:rPr>
                <w:rFonts w:hint="eastAsia" w:ascii="仿宋" w:hAnsi="仿宋" w:eastAsia="仿宋" w:cs="仿宋"/>
                <w:color w:val="000000"/>
                <w:sz w:val="24"/>
                <w:szCs w:val="24"/>
              </w:rPr>
              <w:t>时间：同响应文件递交截止时间</w:t>
            </w:r>
          </w:p>
          <w:p w14:paraId="2ECF9C74">
            <w:pPr>
              <w:keepNext w:val="0"/>
              <w:keepLines w:val="0"/>
              <w:suppressLineNumbers w:val="0"/>
              <w:spacing w:before="0" w:beforeAutospacing="0" w:after="0" w:afterAutospacing="0"/>
              <w:ind w:left="0" w:leftChars="0" w:right="0" w:rightChars="0"/>
              <w:jc w:val="left"/>
              <w:rPr>
                <w:rFonts w:hint="eastAsia" w:ascii="仿宋" w:hAnsi="仿宋" w:eastAsia="仿宋" w:cs="仿宋"/>
                <w:kern w:val="2"/>
                <w:sz w:val="24"/>
                <w:szCs w:val="24"/>
                <w:lang w:val="en-US" w:eastAsia="zh-CN" w:bidi="ar-SA"/>
              </w:rPr>
            </w:pPr>
            <w:r>
              <w:rPr>
                <w:rFonts w:hint="eastAsia" w:ascii="仿宋" w:hAnsi="仿宋" w:eastAsia="仿宋" w:cs="仿宋"/>
                <w:color w:val="000000"/>
                <w:sz w:val="24"/>
                <w:szCs w:val="24"/>
              </w:rPr>
              <w:t>地点：同响应文件递交地点</w:t>
            </w:r>
          </w:p>
        </w:tc>
      </w:tr>
      <w:tr w14:paraId="64FAD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09" w:type="dxa"/>
            <w:noWrap w:val="0"/>
            <w:vAlign w:val="center"/>
          </w:tcPr>
          <w:p w14:paraId="03B81211">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31</w:t>
            </w:r>
          </w:p>
        </w:tc>
        <w:tc>
          <w:tcPr>
            <w:tcW w:w="1900" w:type="dxa"/>
            <w:shd w:val="clear" w:color="auto" w:fill="auto"/>
            <w:noWrap w:val="0"/>
            <w:vAlign w:val="center"/>
          </w:tcPr>
          <w:p w14:paraId="42E3F1EF">
            <w:pPr>
              <w:keepNext w:val="0"/>
              <w:keepLines w:val="0"/>
              <w:suppressLineNumbers w:val="0"/>
              <w:spacing w:before="0" w:beforeAutospacing="0" w:after="0" w:afterAutospacing="0"/>
              <w:ind w:left="0" w:leftChars="0" w:right="0" w:rightChars="0"/>
              <w:jc w:val="center"/>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评审办法</w:t>
            </w:r>
          </w:p>
        </w:tc>
        <w:tc>
          <w:tcPr>
            <w:tcW w:w="6747" w:type="dxa"/>
            <w:shd w:val="clear" w:color="auto" w:fill="auto"/>
            <w:noWrap w:val="0"/>
            <w:vAlign w:val="center"/>
          </w:tcPr>
          <w:p w14:paraId="462ED31B">
            <w:pPr>
              <w:keepNext w:val="0"/>
              <w:keepLines w:val="0"/>
              <w:suppressLineNumbers w:val="0"/>
              <w:spacing w:before="0" w:beforeAutospacing="0" w:after="0" w:afterAutospacing="0"/>
              <w:ind w:left="0" w:leftChars="0" w:right="0" w:rightChars="0"/>
              <w:jc w:val="left"/>
              <w:rPr>
                <w:rFonts w:hint="eastAsia" w:ascii="仿宋" w:hAnsi="仿宋" w:eastAsia="仿宋" w:cs="仿宋"/>
                <w:bCs/>
                <w:color w:val="000000"/>
                <w:kern w:val="2"/>
                <w:sz w:val="24"/>
                <w:szCs w:val="24"/>
                <w:lang w:val="en-US" w:eastAsia="zh-CN" w:bidi="ar-SA"/>
              </w:rPr>
            </w:pPr>
            <w:r>
              <w:rPr>
                <w:rFonts w:hint="eastAsia" w:ascii="仿宋" w:hAnsi="仿宋" w:eastAsia="仿宋" w:cs="仿宋"/>
                <w:color w:val="000000"/>
                <w:sz w:val="24"/>
                <w:szCs w:val="24"/>
              </w:rPr>
              <w:t>综合评分法，详见磋商文件</w:t>
            </w:r>
          </w:p>
        </w:tc>
      </w:tr>
      <w:tr w14:paraId="542EC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709" w:type="dxa"/>
            <w:noWrap w:val="0"/>
            <w:vAlign w:val="center"/>
          </w:tcPr>
          <w:p w14:paraId="7F67865A">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32</w:t>
            </w:r>
          </w:p>
        </w:tc>
        <w:tc>
          <w:tcPr>
            <w:tcW w:w="1900" w:type="dxa"/>
            <w:shd w:val="clear" w:color="auto" w:fill="auto"/>
            <w:noWrap w:val="0"/>
            <w:vAlign w:val="center"/>
          </w:tcPr>
          <w:p w14:paraId="1913D765">
            <w:pPr>
              <w:keepNext w:val="0"/>
              <w:keepLines w:val="0"/>
              <w:widowControl/>
              <w:suppressLineNumbers w:val="0"/>
              <w:adjustRightInd w:val="0"/>
              <w:snapToGrid w:val="0"/>
              <w:spacing w:before="0" w:beforeAutospacing="0" w:after="0" w:afterAutospacing="0" w:line="288" w:lineRule="auto"/>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是否退还响应文件</w:t>
            </w:r>
          </w:p>
        </w:tc>
        <w:tc>
          <w:tcPr>
            <w:tcW w:w="6747" w:type="dxa"/>
            <w:shd w:val="clear" w:color="auto" w:fill="auto"/>
            <w:noWrap w:val="0"/>
            <w:vAlign w:val="center"/>
          </w:tcPr>
          <w:p w14:paraId="1CDE5F0A">
            <w:pPr>
              <w:keepNext w:val="0"/>
              <w:keepLines w:val="0"/>
              <w:widowControl/>
              <w:suppressLineNumbers w:val="0"/>
              <w:adjustRightInd w:val="0"/>
              <w:snapToGrid w:val="0"/>
              <w:spacing w:before="0" w:beforeAutospacing="0" w:after="0" w:afterAutospacing="0" w:line="288" w:lineRule="auto"/>
              <w:ind w:left="0" w:right="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bCs/>
                <w:color w:val="auto"/>
                <w:sz w:val="24"/>
                <w:szCs w:val="24"/>
                <w:highlight w:val="none"/>
              </w:rPr>
              <w:sym w:font="Wingdings" w:char="F0FE"/>
            </w:r>
            <w:r>
              <w:rPr>
                <w:rFonts w:hint="eastAsia" w:ascii="仿宋" w:hAnsi="仿宋" w:eastAsia="仿宋" w:cs="仿宋"/>
                <w:color w:val="auto"/>
                <w:sz w:val="24"/>
                <w:szCs w:val="24"/>
                <w:highlight w:val="none"/>
              </w:rPr>
              <w:t>否</w:t>
            </w:r>
          </w:p>
        </w:tc>
      </w:tr>
      <w:tr w14:paraId="41FE3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709" w:type="dxa"/>
            <w:shd w:val="clear" w:color="auto" w:fill="auto"/>
            <w:noWrap w:val="0"/>
            <w:vAlign w:val="center"/>
          </w:tcPr>
          <w:p w14:paraId="653942FF">
            <w:pPr>
              <w:keepNext w:val="0"/>
              <w:keepLines w:val="0"/>
              <w:widowControl/>
              <w:suppressLineNumbers w:val="0"/>
              <w:adjustRightInd w:val="0"/>
              <w:snapToGrid w:val="0"/>
              <w:spacing w:before="0" w:beforeAutospacing="0" w:after="0" w:afterAutospacing="0" w:line="288" w:lineRule="auto"/>
              <w:ind w:left="0" w:right="0"/>
              <w:jc w:val="center"/>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kern w:val="2"/>
                <w:sz w:val="24"/>
                <w:szCs w:val="24"/>
                <w:highlight w:val="none"/>
                <w:lang w:val="en-US" w:eastAsia="zh-CN" w:bidi="ar-SA"/>
              </w:rPr>
              <w:t>33</w:t>
            </w:r>
          </w:p>
        </w:tc>
        <w:tc>
          <w:tcPr>
            <w:tcW w:w="1900" w:type="dxa"/>
            <w:shd w:val="clear" w:color="auto" w:fill="auto"/>
            <w:noWrap w:val="0"/>
            <w:vAlign w:val="center"/>
          </w:tcPr>
          <w:p w14:paraId="24009AAB">
            <w:pPr>
              <w:keepNext w:val="0"/>
              <w:keepLines w:val="0"/>
              <w:widowControl/>
              <w:suppressLineNumbers w:val="0"/>
              <w:adjustRightInd w:val="0"/>
              <w:snapToGrid w:val="0"/>
              <w:spacing w:before="0" w:beforeAutospacing="0" w:after="0" w:afterAutospacing="0" w:line="288" w:lineRule="auto"/>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履约保证金</w:t>
            </w:r>
          </w:p>
        </w:tc>
        <w:tc>
          <w:tcPr>
            <w:tcW w:w="6747" w:type="dxa"/>
            <w:shd w:val="clear" w:color="auto" w:fill="auto"/>
            <w:noWrap w:val="0"/>
            <w:vAlign w:val="center"/>
          </w:tcPr>
          <w:p w14:paraId="44B14315">
            <w:pPr>
              <w:pStyle w:val="11"/>
              <w:keepNext w:val="0"/>
              <w:keepLines w:val="0"/>
              <w:widowControl/>
              <w:suppressLineNumbers w:val="0"/>
              <w:adjustRightInd w:val="0"/>
              <w:snapToGrid w:val="0"/>
              <w:spacing w:before="0" w:beforeAutospacing="0" w:after="0" w:afterAutospacing="0" w:line="288" w:lineRule="auto"/>
              <w:ind w:left="0" w:right="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是否要求中标人提交履约保证金：</w:t>
            </w:r>
          </w:p>
          <w:p w14:paraId="3C5A2B8D">
            <w:pPr>
              <w:pStyle w:val="11"/>
              <w:keepNext w:val="0"/>
              <w:keepLines w:val="0"/>
              <w:widowControl/>
              <w:suppressLineNumbers w:val="0"/>
              <w:adjustRightInd w:val="0"/>
              <w:snapToGrid w:val="0"/>
              <w:spacing w:before="0" w:beforeAutospacing="0" w:after="0" w:afterAutospacing="0" w:line="288" w:lineRule="auto"/>
              <w:ind w:left="0" w:right="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sym w:font="Wingdings 2" w:char="0052"/>
            </w:r>
            <w:r>
              <w:rPr>
                <w:rFonts w:hint="eastAsia" w:ascii="仿宋" w:hAnsi="仿宋" w:eastAsia="仿宋" w:cs="仿宋"/>
                <w:color w:val="000000"/>
                <w:sz w:val="24"/>
                <w:szCs w:val="24"/>
                <w:highlight w:val="none"/>
              </w:rPr>
              <w:t>不要求</w:t>
            </w:r>
          </w:p>
          <w:p w14:paraId="59898CF1">
            <w:pPr>
              <w:pStyle w:val="11"/>
              <w:keepNext w:val="0"/>
              <w:keepLines w:val="0"/>
              <w:widowControl/>
              <w:suppressLineNumbers w:val="0"/>
              <w:adjustRightInd w:val="0"/>
              <w:snapToGrid w:val="0"/>
              <w:spacing w:before="0" w:beforeAutospacing="0" w:after="0" w:afterAutospacing="0" w:line="288" w:lineRule="auto"/>
              <w:ind w:left="0" w:right="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000000"/>
                <w:sz w:val="24"/>
                <w:szCs w:val="24"/>
                <w:highlight w:val="none"/>
              </w:rPr>
              <w:sym w:font="Wingdings" w:char="00A8"/>
            </w:r>
            <w:r>
              <w:rPr>
                <w:rFonts w:hint="eastAsia" w:ascii="仿宋" w:hAnsi="仿宋" w:eastAsia="仿宋" w:cs="仿宋"/>
                <w:color w:val="000000"/>
                <w:sz w:val="24"/>
                <w:szCs w:val="24"/>
                <w:highlight w:val="none"/>
              </w:rPr>
              <w:t>要求</w:t>
            </w:r>
          </w:p>
        </w:tc>
      </w:tr>
      <w:tr w14:paraId="70C48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09" w:type="dxa"/>
            <w:shd w:val="clear" w:color="auto" w:fill="auto"/>
            <w:noWrap w:val="0"/>
            <w:vAlign w:val="center"/>
          </w:tcPr>
          <w:p w14:paraId="64855E9C">
            <w:pPr>
              <w:keepNext w:val="0"/>
              <w:keepLines w:val="0"/>
              <w:widowControl/>
              <w:suppressLineNumbers w:val="0"/>
              <w:adjustRightInd w:val="0"/>
              <w:snapToGrid w:val="0"/>
              <w:spacing w:before="0" w:beforeAutospacing="0" w:after="0" w:afterAutospacing="0" w:line="288" w:lineRule="auto"/>
              <w:ind w:left="0" w:right="0"/>
              <w:jc w:val="center"/>
              <w:rPr>
                <w:rFonts w:hint="eastAsia" w:ascii="仿宋" w:hAnsi="仿宋" w:eastAsia="仿宋" w:cs="仿宋"/>
                <w:b/>
                <w:color w:val="auto"/>
                <w:kern w:val="2"/>
                <w:sz w:val="24"/>
                <w:szCs w:val="24"/>
                <w:highlight w:val="none"/>
                <w:lang w:val="en-US" w:eastAsia="zh-CN" w:bidi="ar-SA"/>
              </w:rPr>
            </w:pPr>
          </w:p>
        </w:tc>
        <w:tc>
          <w:tcPr>
            <w:tcW w:w="1900" w:type="dxa"/>
            <w:shd w:val="clear" w:color="auto" w:fill="auto"/>
            <w:noWrap w:val="0"/>
            <w:vAlign w:val="center"/>
          </w:tcPr>
          <w:p w14:paraId="59786D77">
            <w:pPr>
              <w:keepNext w:val="0"/>
              <w:keepLines w:val="0"/>
              <w:widowControl/>
              <w:suppressLineNumbers w:val="0"/>
              <w:adjustRightInd w:val="0"/>
              <w:snapToGrid w:val="0"/>
              <w:spacing w:before="0" w:beforeAutospacing="0" w:after="0" w:afterAutospacing="0" w:line="288" w:lineRule="auto"/>
              <w:ind w:left="0" w:right="0"/>
              <w:jc w:val="center"/>
              <w:rPr>
                <w:rFonts w:hint="eastAsia" w:ascii="仿宋" w:hAnsi="仿宋" w:eastAsia="仿宋" w:cs="仿宋"/>
                <w:b/>
                <w:color w:val="auto"/>
                <w:kern w:val="2"/>
                <w:sz w:val="24"/>
                <w:szCs w:val="24"/>
                <w:highlight w:val="none"/>
                <w:lang w:val="en-US" w:eastAsia="zh-CN" w:bidi="ar-SA"/>
              </w:rPr>
            </w:pPr>
          </w:p>
        </w:tc>
        <w:tc>
          <w:tcPr>
            <w:tcW w:w="6747" w:type="dxa"/>
            <w:shd w:val="clear" w:color="auto" w:fill="auto"/>
            <w:noWrap w:val="0"/>
            <w:vAlign w:val="center"/>
          </w:tcPr>
          <w:p w14:paraId="768BC8E4">
            <w:pPr>
              <w:keepNext w:val="0"/>
              <w:keepLines w:val="0"/>
              <w:widowControl/>
              <w:suppressLineNumbers w:val="0"/>
              <w:adjustRightInd w:val="0"/>
              <w:snapToGrid w:val="0"/>
              <w:spacing w:before="0" w:beforeAutospacing="0" w:after="0" w:afterAutospacing="0" w:line="288" w:lineRule="auto"/>
              <w:ind w:left="0" w:right="0"/>
              <w:jc w:val="center"/>
              <w:rPr>
                <w:rFonts w:hint="eastAsia" w:ascii="仿宋" w:hAnsi="仿宋" w:eastAsia="仿宋" w:cs="仿宋"/>
                <w:b/>
                <w:color w:val="auto"/>
                <w:kern w:val="2"/>
                <w:sz w:val="24"/>
                <w:szCs w:val="24"/>
                <w:highlight w:val="none"/>
                <w:lang w:val="en-US" w:eastAsia="zh-CN" w:bidi="ar-SA"/>
              </w:rPr>
            </w:pPr>
            <w:r>
              <w:rPr>
                <w:rFonts w:hint="eastAsia" w:ascii="仿宋" w:hAnsi="仿宋" w:eastAsia="仿宋" w:cs="仿宋"/>
                <w:b/>
                <w:color w:val="auto"/>
                <w:sz w:val="24"/>
                <w:szCs w:val="24"/>
                <w:highlight w:val="none"/>
              </w:rPr>
              <w:t>需要补充的其他内容</w:t>
            </w:r>
          </w:p>
        </w:tc>
      </w:tr>
      <w:tr w14:paraId="10097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709" w:type="dxa"/>
            <w:shd w:val="clear" w:color="auto" w:fill="auto"/>
            <w:noWrap w:val="0"/>
            <w:vAlign w:val="center"/>
          </w:tcPr>
          <w:p w14:paraId="50F2A88C">
            <w:pPr>
              <w:keepNext w:val="0"/>
              <w:keepLines w:val="0"/>
              <w:widowControl/>
              <w:suppressLineNumbers w:val="0"/>
              <w:adjustRightInd w:val="0"/>
              <w:snapToGrid w:val="0"/>
              <w:spacing w:before="0" w:beforeAutospacing="0" w:after="0" w:afterAutospacing="0" w:line="288" w:lineRule="auto"/>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34</w:t>
            </w:r>
          </w:p>
        </w:tc>
        <w:tc>
          <w:tcPr>
            <w:tcW w:w="1900" w:type="dxa"/>
            <w:shd w:val="clear" w:color="auto" w:fill="auto"/>
            <w:noWrap w:val="0"/>
            <w:vAlign w:val="center"/>
          </w:tcPr>
          <w:p w14:paraId="066CFDEE">
            <w:pPr>
              <w:keepNext w:val="0"/>
              <w:keepLines w:val="0"/>
              <w:suppressLineNumbers w:val="0"/>
              <w:adjustRightInd w:val="0"/>
              <w:snapToGrid w:val="0"/>
              <w:spacing w:before="0" w:beforeAutospacing="0" w:after="0" w:afterAutospacing="0" w:line="288" w:lineRule="auto"/>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不良信用记录查询渠道</w:t>
            </w:r>
          </w:p>
        </w:tc>
        <w:tc>
          <w:tcPr>
            <w:tcW w:w="6747" w:type="dxa"/>
            <w:shd w:val="clear" w:color="auto" w:fill="auto"/>
            <w:noWrap w:val="0"/>
            <w:vAlign w:val="center"/>
          </w:tcPr>
          <w:p w14:paraId="6B4B0C12">
            <w:pPr>
              <w:keepNext w:val="0"/>
              <w:keepLines w:val="0"/>
              <w:widowControl/>
              <w:suppressLineNumbers w:val="0"/>
              <w:adjustRightInd w:val="0"/>
              <w:snapToGrid w:val="0"/>
              <w:spacing w:before="0" w:beforeAutospacing="0" w:after="0" w:afterAutospacing="0" w:line="288" w:lineRule="auto"/>
              <w:ind w:left="0" w:right="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不良信用记录查询渠道如下（仅以下述渠道查询结果为准）：</w:t>
            </w:r>
          </w:p>
          <w:p w14:paraId="1159B302">
            <w:pPr>
              <w:keepNext w:val="0"/>
              <w:keepLines w:val="0"/>
              <w:widowControl/>
              <w:suppressLineNumbers w:val="0"/>
              <w:adjustRightInd w:val="0"/>
              <w:snapToGrid w:val="0"/>
              <w:spacing w:before="0" w:beforeAutospacing="0" w:after="0" w:afterAutospacing="0" w:line="288" w:lineRule="auto"/>
              <w:ind w:left="0" w:right="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1、失信被执行人：信用中国官网（www.creditchina.gov.cn）；</w:t>
            </w:r>
          </w:p>
          <w:p w14:paraId="5BDB176B">
            <w:pPr>
              <w:keepNext w:val="0"/>
              <w:keepLines w:val="0"/>
              <w:widowControl/>
              <w:suppressLineNumbers w:val="0"/>
              <w:adjustRightInd w:val="0"/>
              <w:snapToGrid w:val="0"/>
              <w:spacing w:before="0" w:beforeAutospacing="0" w:after="0" w:afterAutospacing="0" w:line="288" w:lineRule="auto"/>
              <w:ind w:left="0" w:right="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2、重大税收违法失信主体：信用中国官网（www.creditchina.gov.cn）；</w:t>
            </w:r>
          </w:p>
          <w:p w14:paraId="51F0B029">
            <w:pPr>
              <w:keepNext w:val="0"/>
              <w:keepLines w:val="0"/>
              <w:widowControl/>
              <w:suppressLineNumbers w:val="0"/>
              <w:adjustRightInd w:val="0"/>
              <w:snapToGrid w:val="0"/>
              <w:spacing w:before="0" w:beforeAutospacing="0" w:after="0" w:afterAutospacing="0" w:line="288" w:lineRule="auto"/>
              <w:ind w:left="0" w:right="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3、严重违法失信企业名单：国家企业信用信息公示系统（www.gsxt.gov.cn）。</w:t>
            </w:r>
          </w:p>
          <w:p w14:paraId="14E726FF">
            <w:pPr>
              <w:keepNext w:val="0"/>
              <w:keepLines w:val="0"/>
              <w:widowControl/>
              <w:suppressLineNumbers w:val="0"/>
              <w:adjustRightInd w:val="0"/>
              <w:snapToGrid w:val="0"/>
              <w:spacing w:before="0" w:beforeAutospacing="0" w:after="0" w:afterAutospacing="0" w:line="288" w:lineRule="auto"/>
              <w:ind w:left="0" w:right="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p w14:paraId="758C25E1">
            <w:pPr>
              <w:keepNext w:val="0"/>
              <w:keepLines w:val="0"/>
              <w:widowControl/>
              <w:suppressLineNumbers w:val="0"/>
              <w:adjustRightInd w:val="0"/>
              <w:snapToGrid w:val="0"/>
              <w:spacing w:before="0" w:beforeAutospacing="0" w:after="0" w:afterAutospacing="0" w:line="288" w:lineRule="auto"/>
              <w:ind w:left="0" w:right="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1、在推荐成交候选人之前评审小组须对拟推荐为成交候选人的供应商进行查询。如存在供应商资格规定的不良信用记录情形之一的，不得推荐为成交候选人；</w:t>
            </w:r>
          </w:p>
          <w:p w14:paraId="054C6C5B">
            <w:pPr>
              <w:keepNext w:val="0"/>
              <w:keepLines w:val="0"/>
              <w:suppressLineNumbers w:val="0"/>
              <w:adjustRightInd w:val="0"/>
              <w:snapToGrid w:val="0"/>
              <w:spacing w:before="0" w:beforeAutospacing="0" w:after="0" w:afterAutospacing="0" w:line="288" w:lineRule="auto"/>
              <w:ind w:left="0" w:right="0"/>
              <w:jc w:val="lef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2、是否有不良信用记录，仅以评审当日查询的结果为准。</w:t>
            </w:r>
          </w:p>
        </w:tc>
      </w:tr>
      <w:tr w14:paraId="383EB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709" w:type="dxa"/>
            <w:shd w:val="clear" w:color="auto" w:fill="auto"/>
            <w:noWrap w:val="0"/>
            <w:vAlign w:val="center"/>
          </w:tcPr>
          <w:p w14:paraId="1238B703">
            <w:pPr>
              <w:keepNext w:val="0"/>
              <w:keepLines w:val="0"/>
              <w:widowControl/>
              <w:suppressLineNumbers w:val="0"/>
              <w:adjustRightInd w:val="0"/>
              <w:snapToGrid w:val="0"/>
              <w:spacing w:before="0" w:beforeAutospacing="0" w:after="0" w:afterAutospacing="0" w:line="288" w:lineRule="auto"/>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35</w:t>
            </w:r>
          </w:p>
        </w:tc>
        <w:tc>
          <w:tcPr>
            <w:tcW w:w="1900" w:type="dxa"/>
            <w:shd w:val="clear" w:color="auto" w:fill="auto"/>
            <w:noWrap w:val="0"/>
            <w:vAlign w:val="center"/>
          </w:tcPr>
          <w:p w14:paraId="0AD0A368">
            <w:pPr>
              <w:keepNext w:val="0"/>
              <w:keepLines w:val="0"/>
              <w:widowControl/>
              <w:suppressLineNumbers w:val="0"/>
              <w:adjustRightInd w:val="0"/>
              <w:snapToGrid w:val="0"/>
              <w:spacing w:before="0" w:beforeAutospacing="0" w:after="0" w:afterAutospacing="0" w:line="288" w:lineRule="auto"/>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原则规定与定义</w:t>
            </w:r>
          </w:p>
        </w:tc>
        <w:tc>
          <w:tcPr>
            <w:tcW w:w="6747" w:type="dxa"/>
            <w:shd w:val="clear" w:color="auto" w:fill="auto"/>
            <w:noWrap w:val="0"/>
            <w:vAlign w:val="center"/>
          </w:tcPr>
          <w:p w14:paraId="45FF5944">
            <w:pPr>
              <w:keepNext w:val="0"/>
              <w:keepLines w:val="0"/>
              <w:suppressLineNumbers w:val="0"/>
              <w:adjustRightInd w:val="0"/>
              <w:snapToGrid w:val="0"/>
              <w:spacing w:before="0" w:beforeAutospacing="0" w:after="0" w:afterAutospacing="0" w:line="288" w:lineRule="auto"/>
              <w:ind w:left="0" w:right="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（1）供应商须知前附表是对供应商须知正文部分对应条款的补充、细化，供应商阅读时应与正文部分一并阅读，供应商须知前附表与正文部分不一致处，应以供应商须知前附表为准。</w:t>
            </w:r>
          </w:p>
          <w:p w14:paraId="19EAED32">
            <w:pPr>
              <w:keepNext w:val="0"/>
              <w:keepLines w:val="0"/>
              <w:suppressLineNumbers w:val="0"/>
              <w:adjustRightInd w:val="0"/>
              <w:snapToGrid w:val="0"/>
              <w:spacing w:before="0" w:beforeAutospacing="0" w:after="0" w:afterAutospacing="0" w:line="288" w:lineRule="auto"/>
              <w:ind w:left="0" w:right="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rPr>
              <w:sym w:font="Wingdings" w:char="F0FE"/>
            </w:r>
            <w:r>
              <w:rPr>
                <w:rFonts w:hint="eastAsia" w:ascii="仿宋" w:hAnsi="仿宋" w:eastAsia="仿宋" w:cs="仿宋"/>
                <w:color w:val="auto"/>
                <w:sz w:val="24"/>
                <w:szCs w:val="24"/>
                <w:highlight w:val="none"/>
              </w:rPr>
              <w:t>”符号表示本磋商文件选定的内容；“□”符号表示本磋商文件未选定的内容；空格中的“/”表示没有具体内容。供应商请按“</w:t>
            </w:r>
            <w:r>
              <w:rPr>
                <w:rFonts w:hint="eastAsia" w:ascii="仿宋" w:hAnsi="仿宋" w:eastAsia="仿宋" w:cs="仿宋"/>
                <w:color w:val="auto"/>
                <w:sz w:val="24"/>
                <w:szCs w:val="24"/>
                <w:highlight w:val="none"/>
              </w:rPr>
              <w:sym w:font="Wingdings" w:char="F0FE"/>
            </w:r>
            <w:r>
              <w:rPr>
                <w:rFonts w:hint="eastAsia" w:ascii="仿宋" w:hAnsi="仿宋" w:eastAsia="仿宋" w:cs="仿宋"/>
                <w:color w:val="auto"/>
                <w:sz w:val="24"/>
                <w:szCs w:val="24"/>
                <w:highlight w:val="none"/>
              </w:rPr>
              <w:t>符号”选定的内容和要求参加采购活动。</w:t>
            </w:r>
          </w:p>
          <w:p w14:paraId="53991659">
            <w:pPr>
              <w:keepNext w:val="0"/>
              <w:keepLines w:val="0"/>
              <w:suppressLineNumbers w:val="0"/>
              <w:adjustRightInd w:val="0"/>
              <w:snapToGrid w:val="0"/>
              <w:spacing w:before="0" w:beforeAutospacing="0" w:after="0" w:afterAutospacing="0" w:line="288" w:lineRule="auto"/>
              <w:ind w:left="0" w:right="0"/>
              <w:jc w:val="lef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（3）与合同履行有关条款中注明的“甲方”、“买方”，在磋商采购阶段按“采购人”理解；注明的“乙方”、“卖方”，按“供应商”理解。</w:t>
            </w:r>
          </w:p>
        </w:tc>
      </w:tr>
      <w:tr w14:paraId="40382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709" w:type="dxa"/>
            <w:shd w:val="clear" w:color="auto" w:fill="auto"/>
            <w:noWrap w:val="0"/>
            <w:vAlign w:val="center"/>
          </w:tcPr>
          <w:p w14:paraId="02903D28">
            <w:pPr>
              <w:keepNext w:val="0"/>
              <w:keepLines w:val="0"/>
              <w:widowControl/>
              <w:suppressLineNumbers w:val="0"/>
              <w:adjustRightInd w:val="0"/>
              <w:snapToGrid w:val="0"/>
              <w:spacing w:before="0" w:beforeAutospacing="0" w:after="0" w:afterAutospacing="0" w:line="288" w:lineRule="auto"/>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36</w:t>
            </w:r>
          </w:p>
        </w:tc>
        <w:tc>
          <w:tcPr>
            <w:tcW w:w="1900" w:type="dxa"/>
            <w:shd w:val="clear" w:color="auto" w:fill="auto"/>
            <w:noWrap w:val="0"/>
            <w:vAlign w:val="center"/>
          </w:tcPr>
          <w:p w14:paraId="7F556853">
            <w:pPr>
              <w:keepNext w:val="0"/>
              <w:keepLines w:val="0"/>
              <w:widowControl/>
              <w:suppressLineNumbers w:val="0"/>
              <w:adjustRightInd w:val="0"/>
              <w:snapToGrid w:val="0"/>
              <w:spacing w:before="0" w:beforeAutospacing="0" w:after="0" w:afterAutospacing="0" w:line="288" w:lineRule="auto"/>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知识产权</w:t>
            </w:r>
          </w:p>
        </w:tc>
        <w:tc>
          <w:tcPr>
            <w:tcW w:w="6747" w:type="dxa"/>
            <w:shd w:val="clear" w:color="auto" w:fill="auto"/>
            <w:noWrap w:val="0"/>
            <w:vAlign w:val="top"/>
          </w:tcPr>
          <w:p w14:paraId="65B9B3BB">
            <w:pPr>
              <w:keepNext w:val="0"/>
              <w:keepLines w:val="0"/>
              <w:suppressLineNumbers w:val="0"/>
              <w:adjustRightInd w:val="0"/>
              <w:snapToGrid w:val="0"/>
              <w:spacing w:before="0" w:beforeAutospacing="0" w:after="0" w:afterAutospacing="0" w:line="288" w:lineRule="auto"/>
              <w:ind w:left="0" w:right="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（1）构成本磋商文件各个组成部分的文件，未经采购人书面同意，供应商不得擅自复印和用于非本磋商采购项目所需的其他目的。如因此导致采购人损失的，供应商须承担全部赔偿责任。</w:t>
            </w:r>
          </w:p>
          <w:p w14:paraId="54599343">
            <w:pPr>
              <w:keepNext w:val="0"/>
              <w:keepLines w:val="0"/>
              <w:suppressLineNumbers w:val="0"/>
              <w:adjustRightInd w:val="0"/>
              <w:snapToGrid w:val="0"/>
              <w:spacing w:before="0" w:beforeAutospacing="0" w:after="0" w:afterAutospacing="0" w:line="288" w:lineRule="auto"/>
              <w:ind w:left="0" w:right="0"/>
              <w:jc w:val="lef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2）采购人在中华人民共和国境内使用成交货物（服务）、资料、技术、服务或其任何一部分时，履行合同义务后，享有不受限制的无偿使用权，不会产生因第三方提出侵犯其专利权、商标权或其它知识产权而引起的法律或经济纠纷。如供应商不拥有相应的知识产权，则在响应报价中必须包括合法获取该知识产权的一切相关费用。如因此导致采购人损失的，供应商须承担全部赔偿责任。</w:t>
            </w:r>
          </w:p>
        </w:tc>
      </w:tr>
      <w:tr w14:paraId="7412C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709" w:type="dxa"/>
            <w:shd w:val="clear" w:color="auto" w:fill="auto"/>
            <w:noWrap w:val="0"/>
            <w:vAlign w:val="center"/>
          </w:tcPr>
          <w:p w14:paraId="1FEA4077">
            <w:pPr>
              <w:keepNext w:val="0"/>
              <w:keepLines w:val="0"/>
              <w:widowControl/>
              <w:suppressLineNumbers w:val="0"/>
              <w:adjustRightInd w:val="0"/>
              <w:snapToGrid w:val="0"/>
              <w:spacing w:before="0" w:beforeAutospacing="0" w:after="0" w:afterAutospacing="0" w:line="288" w:lineRule="auto"/>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37</w:t>
            </w:r>
          </w:p>
        </w:tc>
        <w:tc>
          <w:tcPr>
            <w:tcW w:w="1900" w:type="dxa"/>
            <w:shd w:val="clear" w:color="auto" w:fill="auto"/>
            <w:noWrap w:val="0"/>
            <w:vAlign w:val="center"/>
          </w:tcPr>
          <w:p w14:paraId="6F9ACD88">
            <w:pPr>
              <w:keepNext w:val="0"/>
              <w:keepLines w:val="0"/>
              <w:widowControl/>
              <w:suppressLineNumbers w:val="0"/>
              <w:adjustRightInd w:val="0"/>
              <w:snapToGrid w:val="0"/>
              <w:spacing w:before="0" w:beforeAutospacing="0" w:after="0" w:afterAutospacing="0" w:line="288" w:lineRule="auto"/>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响应专用章、业务专用章等效力规定</w:t>
            </w:r>
          </w:p>
        </w:tc>
        <w:tc>
          <w:tcPr>
            <w:tcW w:w="6747" w:type="dxa"/>
            <w:shd w:val="clear" w:color="auto" w:fill="auto"/>
            <w:noWrap w:val="0"/>
            <w:vAlign w:val="center"/>
          </w:tcPr>
          <w:p w14:paraId="40DD57D4">
            <w:pPr>
              <w:keepNext w:val="0"/>
              <w:keepLines w:val="0"/>
              <w:widowControl/>
              <w:suppressLineNumbers w:val="0"/>
              <w:snapToGrid w:val="0"/>
              <w:spacing w:before="0" w:beforeAutospacing="0" w:after="0" w:afterAutospacing="0" w:line="288" w:lineRule="auto"/>
              <w:ind w:left="0" w:right="0"/>
              <w:jc w:val="lef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磋商文件中明确要求加盖公章的，供应商必须加盖供应商公章。在有授权文件(原件)表明投标专用章、业务专用章等法律效力等同于供应商公章的情况下，可以加盖投标专用章或业务专用章，否则将导致响应文件无效。</w:t>
            </w:r>
          </w:p>
        </w:tc>
      </w:tr>
      <w:tr w14:paraId="2FC91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709" w:type="dxa"/>
            <w:shd w:val="clear" w:color="auto" w:fill="auto"/>
            <w:noWrap w:val="0"/>
            <w:vAlign w:val="center"/>
          </w:tcPr>
          <w:p w14:paraId="2623EFE9">
            <w:pPr>
              <w:keepNext w:val="0"/>
              <w:keepLines w:val="0"/>
              <w:widowControl/>
              <w:suppressLineNumbers w:val="0"/>
              <w:adjustRightInd w:val="0"/>
              <w:snapToGrid w:val="0"/>
              <w:spacing w:before="0" w:beforeAutospacing="0" w:after="0" w:afterAutospacing="0" w:line="288" w:lineRule="auto"/>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38</w:t>
            </w:r>
          </w:p>
        </w:tc>
        <w:tc>
          <w:tcPr>
            <w:tcW w:w="1900" w:type="dxa"/>
            <w:shd w:val="clear" w:color="auto" w:fill="auto"/>
            <w:noWrap w:val="0"/>
            <w:vAlign w:val="center"/>
          </w:tcPr>
          <w:p w14:paraId="6CA91A75">
            <w:pPr>
              <w:keepNext w:val="0"/>
              <w:keepLines w:val="0"/>
              <w:widowControl/>
              <w:suppressLineNumbers w:val="0"/>
              <w:adjustRightInd w:val="0"/>
              <w:snapToGrid w:val="0"/>
              <w:spacing w:before="0" w:beforeAutospacing="0" w:after="0" w:afterAutospacing="0" w:line="288" w:lineRule="auto"/>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相关提示</w:t>
            </w:r>
          </w:p>
        </w:tc>
        <w:tc>
          <w:tcPr>
            <w:tcW w:w="6747" w:type="dxa"/>
            <w:shd w:val="clear" w:color="auto" w:fill="auto"/>
            <w:noWrap w:val="0"/>
            <w:vAlign w:val="center"/>
          </w:tcPr>
          <w:p w14:paraId="24E216A7">
            <w:pPr>
              <w:keepNext w:val="0"/>
              <w:keepLines w:val="0"/>
              <w:widowControl/>
              <w:suppressLineNumbers w:val="0"/>
              <w:snapToGrid w:val="0"/>
              <w:spacing w:before="0" w:beforeAutospacing="0" w:after="0" w:afterAutospacing="0" w:line="288" w:lineRule="auto"/>
              <w:ind w:left="0" w:right="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（1）磋商文件中所称时间均指北京时间。</w:t>
            </w:r>
          </w:p>
          <w:p w14:paraId="31D49C69">
            <w:pPr>
              <w:keepNext w:val="0"/>
              <w:keepLines w:val="0"/>
              <w:widowControl/>
              <w:suppressLineNumbers w:val="0"/>
              <w:snapToGrid w:val="0"/>
              <w:spacing w:before="0" w:beforeAutospacing="0" w:after="0" w:afterAutospacing="0" w:line="288" w:lineRule="auto"/>
              <w:ind w:left="0" w:right="0"/>
              <w:jc w:val="lef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2）本项目保证金账户采用虚拟账号，每个项目均不同，同一个项目不同标包也不同。参与磋商的标包应与磋商保证金相匹配。如项目采购失败再次采购时，保证金账号也会发生变化。请供应商仔细核对账户信息。</w:t>
            </w:r>
          </w:p>
        </w:tc>
      </w:tr>
      <w:tr w14:paraId="3FF67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709" w:type="dxa"/>
            <w:shd w:val="clear" w:color="auto" w:fill="auto"/>
            <w:noWrap w:val="0"/>
            <w:vAlign w:val="center"/>
          </w:tcPr>
          <w:p w14:paraId="3E5742B7">
            <w:pPr>
              <w:keepNext w:val="0"/>
              <w:keepLines w:val="0"/>
              <w:widowControl/>
              <w:suppressLineNumbers w:val="0"/>
              <w:adjustRightInd w:val="0"/>
              <w:snapToGrid w:val="0"/>
              <w:spacing w:before="0" w:beforeAutospacing="0" w:after="0" w:afterAutospacing="0" w:line="288" w:lineRule="auto"/>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39</w:t>
            </w:r>
          </w:p>
        </w:tc>
        <w:tc>
          <w:tcPr>
            <w:tcW w:w="1900" w:type="dxa"/>
            <w:shd w:val="clear" w:color="auto" w:fill="auto"/>
            <w:noWrap w:val="0"/>
            <w:vAlign w:val="center"/>
          </w:tcPr>
          <w:p w14:paraId="13EBF8CD">
            <w:pPr>
              <w:keepNext w:val="0"/>
              <w:keepLines w:val="0"/>
              <w:widowControl/>
              <w:suppressLineNumbers w:val="0"/>
              <w:adjustRightInd w:val="0"/>
              <w:snapToGrid w:val="0"/>
              <w:spacing w:before="0" w:beforeAutospacing="0" w:after="0" w:afterAutospacing="0" w:line="288" w:lineRule="auto"/>
              <w:ind w:left="0" w:right="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磋商文件的解释</w:t>
            </w:r>
          </w:p>
        </w:tc>
        <w:tc>
          <w:tcPr>
            <w:tcW w:w="6747" w:type="dxa"/>
            <w:shd w:val="clear" w:color="auto" w:fill="auto"/>
            <w:noWrap w:val="0"/>
            <w:vAlign w:val="top"/>
          </w:tcPr>
          <w:p w14:paraId="28D129BE">
            <w:pPr>
              <w:keepNext w:val="0"/>
              <w:keepLines w:val="0"/>
              <w:widowControl/>
              <w:suppressLineNumbers w:val="0"/>
              <w:adjustRightInd w:val="0"/>
              <w:snapToGrid w:val="0"/>
              <w:spacing w:before="0" w:beforeAutospacing="0" w:after="0" w:afterAutospacing="0" w:line="288" w:lineRule="auto"/>
              <w:ind w:left="0" w:right="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构成本磋商文件的各个组成文件应互为解释，互为说明；如有不明确或不一致，除磋商文件中有特别规定外，仅适用于磋商阶段规定的，按磋商公告、供应商须知、评审办法、响应文件格式的先后顺序解释；同一组成文件中就同一事项的规定或约定不一致的，以编排顺序在后者为准；同一文件不同版本之间有不一致的，以形成时间在后者为准。按本款前述规定仍不能形成结论的，</w:t>
            </w:r>
            <w:r>
              <w:rPr>
                <w:rFonts w:hint="eastAsia" w:ascii="仿宋" w:hAnsi="仿宋" w:eastAsia="仿宋" w:cs="仿宋"/>
                <w:bCs/>
                <w:color w:val="auto"/>
                <w:sz w:val="24"/>
                <w:szCs w:val="24"/>
                <w:highlight w:val="none"/>
              </w:rPr>
              <w:t>由采购人和采购代理机构负责解释。</w:t>
            </w:r>
          </w:p>
        </w:tc>
      </w:tr>
      <w:tr w14:paraId="43017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709" w:type="dxa"/>
            <w:noWrap w:val="0"/>
            <w:vAlign w:val="center"/>
          </w:tcPr>
          <w:p w14:paraId="1CA6D768">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lang w:eastAsia="zh-CN"/>
              </w:rPr>
            </w:pPr>
          </w:p>
        </w:tc>
        <w:tc>
          <w:tcPr>
            <w:tcW w:w="1900" w:type="dxa"/>
            <w:noWrap w:val="0"/>
            <w:vAlign w:val="center"/>
          </w:tcPr>
          <w:p w14:paraId="6C0A9816">
            <w:pPr>
              <w:keepNext w:val="0"/>
              <w:keepLines w:val="0"/>
              <w:suppressLineNumbers w:val="0"/>
              <w:spacing w:before="0" w:beforeAutospacing="0" w:after="0" w:afterAutospacing="0"/>
              <w:ind w:left="0" w:right="0"/>
              <w:jc w:val="center"/>
              <w:rPr>
                <w:rFonts w:hint="eastAsia" w:ascii="仿宋" w:hAnsi="仿宋" w:eastAsia="仿宋" w:cs="仿宋"/>
                <w:color w:val="000000"/>
                <w:sz w:val="24"/>
                <w:szCs w:val="24"/>
              </w:rPr>
            </w:pPr>
          </w:p>
        </w:tc>
        <w:tc>
          <w:tcPr>
            <w:tcW w:w="6747" w:type="dxa"/>
            <w:noWrap w:val="0"/>
            <w:vAlign w:val="center"/>
          </w:tcPr>
          <w:p w14:paraId="12AB5BFF">
            <w:pPr>
              <w:keepNext w:val="0"/>
              <w:keepLines w:val="0"/>
              <w:suppressLineNumbers w:val="0"/>
              <w:spacing w:before="0" w:beforeAutospacing="0" w:after="0" w:afterAutospacing="0"/>
              <w:ind w:left="0" w:right="0"/>
              <w:jc w:val="left"/>
              <w:rPr>
                <w:rFonts w:hint="eastAsia" w:ascii="仿宋" w:hAnsi="仿宋" w:eastAsia="仿宋" w:cs="仿宋"/>
                <w:color w:val="000000"/>
                <w:sz w:val="24"/>
                <w:szCs w:val="24"/>
                <w:lang w:eastAsia="zh-CN"/>
              </w:rPr>
            </w:pPr>
          </w:p>
        </w:tc>
      </w:tr>
    </w:tbl>
    <w:p w14:paraId="789E3755">
      <w:pPr>
        <w:pStyle w:val="2"/>
        <w:spacing w:line="0" w:lineRule="atLeast"/>
        <w:jc w:val="center"/>
        <w:rPr>
          <w:rFonts w:hint="eastAsia" w:ascii="仿宋" w:hAnsi="仿宋" w:eastAsia="仿宋" w:cs="仿宋"/>
          <w:b/>
          <w:color w:val="000000"/>
          <w:sz w:val="24"/>
          <w:szCs w:val="24"/>
        </w:rPr>
        <w:sectPr>
          <w:pgSz w:w="11906" w:h="16838"/>
          <w:pgMar w:top="1440" w:right="1400" w:bottom="1440" w:left="1531" w:header="851" w:footer="992" w:gutter="0"/>
          <w:cols w:space="720" w:num="1"/>
          <w:docGrid w:type="linesAndChars" w:linePitch="312" w:charSpace="-4301"/>
        </w:sectPr>
      </w:pPr>
    </w:p>
    <w:bookmarkEnd w:id="11"/>
    <w:bookmarkEnd w:id="12"/>
    <w:p w14:paraId="1E8844DA">
      <w:pPr>
        <w:pStyle w:val="3"/>
        <w:spacing w:line="360" w:lineRule="auto"/>
        <w:rPr>
          <w:rStyle w:val="35"/>
          <w:rFonts w:hint="eastAsia" w:ascii="仿宋" w:hAnsi="仿宋" w:eastAsia="仿宋" w:cs="仿宋"/>
          <w:b/>
          <w:bCs/>
          <w:color w:val="auto"/>
          <w:sz w:val="24"/>
          <w:szCs w:val="24"/>
          <w:highlight w:val="none"/>
        </w:rPr>
      </w:pPr>
      <w:bookmarkStart w:id="13" w:name="_Toc445554688"/>
      <w:bookmarkStart w:id="14" w:name="_Toc342296161"/>
      <w:bookmarkStart w:id="15" w:name="_Toc458504818"/>
      <w:bookmarkStart w:id="16" w:name="_Toc152045529"/>
      <w:bookmarkStart w:id="17" w:name="_Toc333600682"/>
      <w:bookmarkStart w:id="18" w:name="_Toc179632546"/>
      <w:bookmarkStart w:id="19" w:name="_Toc338944604"/>
      <w:bookmarkStart w:id="20" w:name="_Toc371415920"/>
      <w:bookmarkStart w:id="21" w:name="_Toc152042305"/>
      <w:bookmarkStart w:id="22" w:name="_Toc342297618"/>
      <w:bookmarkStart w:id="23" w:name="_Toc333599658"/>
      <w:bookmarkStart w:id="24" w:name="_Toc338943699"/>
      <w:bookmarkStart w:id="25" w:name="_Toc455587032"/>
      <w:bookmarkStart w:id="26" w:name="_Toc144974497"/>
      <w:bookmarkStart w:id="27" w:name="_Toc342294713"/>
      <w:bookmarkStart w:id="28" w:name="_Toc455587216"/>
      <w:bookmarkStart w:id="29" w:name="_Toc466024500"/>
      <w:bookmarkStart w:id="30" w:name="_Toc3052"/>
      <w:bookmarkStart w:id="31" w:name="_Toc509956533"/>
      <w:bookmarkStart w:id="32" w:name="_Toc112339986"/>
      <w:bookmarkStart w:id="33" w:name="_Toc427106476"/>
      <w:bookmarkStart w:id="34" w:name="_Toc418770912"/>
      <w:bookmarkStart w:id="35" w:name="_Toc427016287"/>
      <w:bookmarkStart w:id="36" w:name="_Toc438648496"/>
      <w:r>
        <w:rPr>
          <w:rStyle w:val="35"/>
          <w:rFonts w:hint="eastAsia" w:ascii="仿宋" w:hAnsi="仿宋" w:eastAsia="仿宋" w:cs="仿宋"/>
          <w:b/>
          <w:bCs/>
          <w:color w:val="auto"/>
          <w:sz w:val="24"/>
          <w:szCs w:val="24"/>
          <w:highlight w:val="none"/>
        </w:rPr>
        <w:t>1. 总则</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5C5B503C">
      <w:pPr>
        <w:pStyle w:val="4"/>
        <w:adjustRightInd w:val="0"/>
        <w:ind w:firstLine="438" w:firstLineChars="200"/>
        <w:rPr>
          <w:rFonts w:hint="eastAsia" w:ascii="仿宋" w:hAnsi="仿宋" w:eastAsia="仿宋" w:cs="仿宋"/>
          <w:color w:val="auto"/>
          <w:sz w:val="24"/>
          <w:szCs w:val="24"/>
          <w:highlight w:val="none"/>
          <w:lang w:eastAsia="zh-CN"/>
        </w:rPr>
      </w:pPr>
      <w:bookmarkStart w:id="37" w:name="_Toc455587217"/>
      <w:bookmarkStart w:id="38" w:name="_Toc371415921"/>
      <w:bookmarkStart w:id="39" w:name="_Toc338943700"/>
      <w:bookmarkStart w:id="40" w:name="_Toc333587853"/>
      <w:bookmarkStart w:id="41" w:name="_Toc445554689"/>
      <w:bookmarkStart w:id="42" w:name="_Toc458504819"/>
      <w:bookmarkStart w:id="43" w:name="_Toc179632547"/>
      <w:bookmarkStart w:id="44" w:name="_Toc466024501"/>
      <w:bookmarkStart w:id="45" w:name="_Toc342296162"/>
      <w:bookmarkStart w:id="46" w:name="_Toc152042306"/>
      <w:bookmarkStart w:id="47" w:name="_Toc333600683"/>
      <w:bookmarkStart w:id="48" w:name="_Toc333599659"/>
      <w:bookmarkStart w:id="49" w:name="_Toc144974498"/>
      <w:bookmarkStart w:id="50" w:name="_Toc338944605"/>
      <w:bookmarkStart w:id="51" w:name="_Toc342297619"/>
      <w:bookmarkStart w:id="52" w:name="_Toc342294714"/>
      <w:bookmarkStart w:id="53" w:name="_Toc152045530"/>
      <w:bookmarkStart w:id="54" w:name="_Toc455587033"/>
      <w:r>
        <w:rPr>
          <w:rFonts w:hint="eastAsia" w:ascii="仿宋" w:hAnsi="仿宋" w:eastAsia="仿宋" w:cs="仿宋"/>
          <w:color w:val="auto"/>
          <w:sz w:val="24"/>
          <w:szCs w:val="24"/>
          <w:highlight w:val="none"/>
          <w:lang w:eastAsia="zh-CN"/>
        </w:rPr>
        <w:t>1.1 项目概况</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24A10261">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1.1.1 根据有关法律、法规和规章的规定，本项目已具备采购条件，现以磋商方式进行采购。</w:t>
      </w:r>
    </w:p>
    <w:p w14:paraId="71486F3E">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1.1.2 采购人：见供应商须知前附表。</w:t>
      </w:r>
    </w:p>
    <w:p w14:paraId="4C5028E1">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1.1.3 采购代理机构：见供应商须知前附表。</w:t>
      </w:r>
    </w:p>
    <w:p w14:paraId="32EFFA8B">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1.1.4 采购项目名称：见供应商须知前附表。</w:t>
      </w:r>
    </w:p>
    <w:p w14:paraId="6055CFBF">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1.1.5 标段（包别）划分：见供应商须知前附表。</w:t>
      </w:r>
    </w:p>
    <w:p w14:paraId="53567654">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1.1.6 采购预算：见供应商须知前附表。</w:t>
      </w:r>
    </w:p>
    <w:p w14:paraId="75271C8F">
      <w:pPr>
        <w:pStyle w:val="4"/>
        <w:adjustRightInd w:val="0"/>
        <w:ind w:firstLine="438" w:firstLineChars="200"/>
        <w:rPr>
          <w:rFonts w:hint="eastAsia" w:ascii="仿宋" w:hAnsi="仿宋" w:eastAsia="仿宋" w:cs="仿宋"/>
          <w:color w:val="auto"/>
          <w:sz w:val="24"/>
          <w:szCs w:val="24"/>
          <w:highlight w:val="none"/>
          <w:lang w:eastAsia="zh-CN"/>
        </w:rPr>
      </w:pPr>
      <w:bookmarkStart w:id="55" w:name="_Toc466024502"/>
      <w:bookmarkStart w:id="56" w:name="_Toc445554690"/>
      <w:bookmarkStart w:id="57" w:name="_Toc458504820"/>
      <w:bookmarkStart w:id="58" w:name="_Toc455587034"/>
      <w:bookmarkStart w:id="59" w:name="_Toc455587218"/>
      <w:r>
        <w:rPr>
          <w:rFonts w:hint="eastAsia" w:ascii="仿宋" w:hAnsi="仿宋" w:eastAsia="仿宋" w:cs="仿宋"/>
          <w:color w:val="auto"/>
          <w:sz w:val="24"/>
          <w:szCs w:val="24"/>
          <w:highlight w:val="none"/>
          <w:lang w:eastAsia="zh-CN"/>
        </w:rPr>
        <w:t>1.2 资金来源和落实情况</w:t>
      </w:r>
    </w:p>
    <w:p w14:paraId="0B25BC51">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1.2.1 资金来源：见供应商须知前附表。</w:t>
      </w:r>
    </w:p>
    <w:p w14:paraId="6922A7C4">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1.2.2 资金落实情况：见供应商须知前附表。</w:t>
      </w:r>
    </w:p>
    <w:p w14:paraId="17198168">
      <w:pPr>
        <w:pStyle w:val="4"/>
        <w:adjustRightInd w:val="0"/>
        <w:ind w:firstLine="438"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1.3 采购需求、服务期、服务地点质量要求</w:t>
      </w:r>
      <w:bookmarkEnd w:id="55"/>
      <w:bookmarkEnd w:id="56"/>
      <w:bookmarkEnd w:id="57"/>
      <w:bookmarkEnd w:id="58"/>
      <w:bookmarkEnd w:id="59"/>
    </w:p>
    <w:p w14:paraId="540CD1E0">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1.3.1 采购需求：见供应商须知前附表。</w:t>
      </w:r>
    </w:p>
    <w:p w14:paraId="67B3B4C2">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1.3.2 服务期：见供应商须知前附表。</w:t>
      </w:r>
    </w:p>
    <w:p w14:paraId="29E62ADE">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1.3.3 服务地点：见供应商须知前附表。</w:t>
      </w:r>
    </w:p>
    <w:p w14:paraId="1A73E683">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1.3.4 付款方式：见供应商须知前附表。</w:t>
      </w:r>
    </w:p>
    <w:p w14:paraId="459D9705">
      <w:pPr>
        <w:pStyle w:val="4"/>
        <w:adjustRightInd w:val="0"/>
        <w:ind w:firstLine="438" w:firstLineChars="200"/>
        <w:rPr>
          <w:rFonts w:hint="eastAsia" w:ascii="仿宋" w:hAnsi="仿宋" w:eastAsia="仿宋" w:cs="仿宋"/>
          <w:color w:val="auto"/>
          <w:sz w:val="24"/>
          <w:szCs w:val="24"/>
          <w:highlight w:val="none"/>
          <w:lang w:eastAsia="zh-CN"/>
        </w:rPr>
      </w:pPr>
      <w:bookmarkStart w:id="60" w:name="_Toc152045534"/>
      <w:bookmarkStart w:id="61" w:name="_Toc342296166"/>
      <w:bookmarkStart w:id="62" w:name="_Toc371415924"/>
      <w:bookmarkStart w:id="63" w:name="_Toc152042310"/>
      <w:bookmarkStart w:id="64" w:name="_Toc445554692"/>
      <w:bookmarkStart w:id="65" w:name="_Toc338944609"/>
      <w:bookmarkStart w:id="66" w:name="_Toc458504821"/>
      <w:bookmarkStart w:id="67" w:name="_Toc342294718"/>
      <w:bookmarkStart w:id="68" w:name="_Toc333599663"/>
      <w:bookmarkStart w:id="69" w:name="_Toc179632551"/>
      <w:bookmarkStart w:id="70" w:name="_Toc342297623"/>
      <w:bookmarkStart w:id="71" w:name="_Toc466024503"/>
      <w:bookmarkStart w:id="72" w:name="_Toc455587035"/>
      <w:bookmarkStart w:id="73" w:name="_Toc338943704"/>
      <w:bookmarkStart w:id="74" w:name="_Toc333587857"/>
      <w:bookmarkStart w:id="75" w:name="_Toc455587219"/>
      <w:bookmarkStart w:id="76" w:name="_Toc333600687"/>
      <w:bookmarkStart w:id="77" w:name="_Toc144974502"/>
      <w:r>
        <w:rPr>
          <w:rFonts w:hint="eastAsia" w:ascii="仿宋" w:hAnsi="仿宋" w:eastAsia="仿宋" w:cs="仿宋"/>
          <w:color w:val="auto"/>
          <w:sz w:val="24"/>
          <w:szCs w:val="24"/>
          <w:highlight w:val="none"/>
          <w:lang w:eastAsia="zh-CN"/>
        </w:rPr>
        <w:t>1.4 供应商资格要求</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17928320">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1.4.1 供应商应具备承担本采购项目的资质条件：</w:t>
      </w:r>
    </w:p>
    <w:p w14:paraId="5D54EDEB">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见磋商公告。</w:t>
      </w:r>
    </w:p>
    <w:p w14:paraId="31CE4420">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1.4.2 本项目不接受联合体。</w:t>
      </w:r>
    </w:p>
    <w:p w14:paraId="5EA8E24C">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1.4.3 供应商不得存在下列情形之一：</w:t>
      </w:r>
    </w:p>
    <w:p w14:paraId="24E6B266">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bookmarkStart w:id="78" w:name="_Toc152042311"/>
      <w:bookmarkStart w:id="79" w:name="_Toc342297624"/>
      <w:bookmarkStart w:id="80" w:name="_Toc333600688"/>
      <w:bookmarkStart w:id="81" w:name="_Toc342296167"/>
      <w:bookmarkStart w:id="82" w:name="_Toc338943705"/>
      <w:bookmarkStart w:id="83" w:name="_Toc144974503"/>
      <w:bookmarkStart w:id="84" w:name="_Toc152045535"/>
      <w:bookmarkStart w:id="85" w:name="_Toc333599664"/>
      <w:bookmarkStart w:id="86" w:name="_Toc338944610"/>
      <w:bookmarkStart w:id="87" w:name="_Toc342294719"/>
      <w:bookmarkStart w:id="88" w:name="_Toc179632552"/>
      <w:bookmarkStart w:id="89" w:name="_Toc333587858"/>
      <w:r>
        <w:rPr>
          <w:rFonts w:hint="eastAsia" w:ascii="仿宋" w:hAnsi="仿宋" w:eastAsia="仿宋" w:cs="仿宋"/>
          <w:color w:val="auto"/>
          <w:sz w:val="24"/>
          <w:szCs w:val="24"/>
          <w:highlight w:val="none"/>
        </w:rPr>
        <w:t>（1）为本采购项目的采购代理机构；</w:t>
      </w:r>
    </w:p>
    <w:p w14:paraId="040EB30D">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（2）为采购人不具有独立法人资格的附属机构；</w:t>
      </w:r>
    </w:p>
    <w:p w14:paraId="71F53F82">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（3）与采购人存在利害关系且可能影响采购公正性；</w:t>
      </w:r>
    </w:p>
    <w:p w14:paraId="0C82DCAA">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（4）由本采购项目采购代理机构代理参加采购活动，或者接受过本采购项目的采购代理机构为本采购项目提供咨询的；</w:t>
      </w:r>
    </w:p>
    <w:p w14:paraId="232E32D8">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（5）被责令停产停业、暂扣或者吊销许可证、暂扣或者吊销执照；</w:t>
      </w:r>
    </w:p>
    <w:p w14:paraId="561CFFD4">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（6）进入清算程序，或被宣告破产，或其他丧失履约能力的情形；</w:t>
      </w:r>
    </w:p>
    <w:p w14:paraId="3AD3A367">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（7）与本项目其他供应商的单位负责人为同一人或者存在直接控股、管理关系的不同供应商；</w:t>
      </w:r>
    </w:p>
    <w:p w14:paraId="4320E31A">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（8）被依法禁止参加采购活动并在有效期内的；</w:t>
      </w:r>
    </w:p>
    <w:p w14:paraId="6BE432EE">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（9）为采购项目提供整体设计、规范编制或者项目管理、监理、检测等服务的供应商，不得再参加该采购项目的其他采购活动；</w:t>
      </w:r>
    </w:p>
    <w:p w14:paraId="42EDC8E6">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（10）法律法规规定的其他情形；</w:t>
      </w:r>
    </w:p>
    <w:p w14:paraId="6AFC2E47">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（11）供应商须知前附表规定的其他情形。</w:t>
      </w:r>
    </w:p>
    <w:p w14:paraId="1FF91511">
      <w:pPr>
        <w:pStyle w:val="4"/>
        <w:adjustRightInd w:val="0"/>
        <w:ind w:firstLine="438" w:firstLineChars="200"/>
        <w:rPr>
          <w:rFonts w:hint="eastAsia" w:ascii="仿宋" w:hAnsi="仿宋" w:eastAsia="仿宋" w:cs="仿宋"/>
          <w:color w:val="auto"/>
          <w:sz w:val="24"/>
          <w:szCs w:val="24"/>
          <w:highlight w:val="none"/>
          <w:lang w:eastAsia="zh-CN"/>
        </w:rPr>
      </w:pPr>
      <w:bookmarkStart w:id="90" w:name="_Toc458504822"/>
      <w:bookmarkStart w:id="91" w:name="_Toc466024504"/>
      <w:bookmarkStart w:id="92" w:name="_Toc371415925"/>
      <w:bookmarkStart w:id="93" w:name="_Toc445554693"/>
      <w:bookmarkStart w:id="94" w:name="_Toc455587220"/>
      <w:bookmarkStart w:id="95" w:name="_Toc455587036"/>
      <w:r>
        <w:rPr>
          <w:rFonts w:hint="eastAsia" w:ascii="仿宋" w:hAnsi="仿宋" w:eastAsia="仿宋" w:cs="仿宋"/>
          <w:color w:val="auto"/>
          <w:sz w:val="24"/>
          <w:szCs w:val="24"/>
          <w:highlight w:val="none"/>
          <w:lang w:eastAsia="zh-CN"/>
        </w:rPr>
        <w:t>1.5 费用承担</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14:paraId="480D190F">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bookmarkStart w:id="96" w:name="_Toc455587221"/>
      <w:bookmarkStart w:id="97" w:name="_Toc466024505"/>
      <w:bookmarkStart w:id="98" w:name="_Toc458504823"/>
      <w:bookmarkStart w:id="99" w:name="_Toc445554694"/>
      <w:bookmarkStart w:id="100" w:name="_Toc455587037"/>
      <w:bookmarkStart w:id="101" w:name="_Toc247513959"/>
      <w:bookmarkStart w:id="102" w:name="_Toc152045536"/>
      <w:bookmarkStart w:id="103" w:name="_Toc247527560"/>
      <w:bookmarkStart w:id="104" w:name="_Toc144974504"/>
      <w:bookmarkStart w:id="105" w:name="_Toc152042312"/>
      <w:bookmarkStart w:id="106" w:name="_Toc300834956"/>
      <w:r>
        <w:rPr>
          <w:rFonts w:hint="eastAsia" w:ascii="仿宋" w:hAnsi="仿宋" w:eastAsia="仿宋" w:cs="仿宋"/>
          <w:color w:val="auto"/>
          <w:sz w:val="24"/>
          <w:szCs w:val="24"/>
          <w:highlight w:val="none"/>
        </w:rPr>
        <w:t>供应商准备和参加采购活动发生的费用自理。</w:t>
      </w:r>
    </w:p>
    <w:p w14:paraId="494A83D1">
      <w:pPr>
        <w:pStyle w:val="4"/>
        <w:adjustRightInd w:val="0"/>
        <w:ind w:firstLine="438"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1.6 保密</w:t>
      </w:r>
      <w:bookmarkEnd w:id="96"/>
      <w:bookmarkEnd w:id="97"/>
      <w:bookmarkEnd w:id="98"/>
      <w:bookmarkEnd w:id="99"/>
      <w:bookmarkEnd w:id="100"/>
    </w:p>
    <w:p w14:paraId="672C6FD1">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参与磋商的各方应当对磋商文件和响应文件中的商业和技术等秘密保密，否则应当承担相应的法律责任。</w:t>
      </w:r>
    </w:p>
    <w:p w14:paraId="0821D7F3">
      <w:pPr>
        <w:pStyle w:val="4"/>
        <w:adjustRightInd w:val="0"/>
        <w:ind w:firstLine="438" w:firstLineChars="200"/>
        <w:rPr>
          <w:rFonts w:hint="eastAsia" w:ascii="仿宋" w:hAnsi="仿宋" w:eastAsia="仿宋" w:cs="仿宋"/>
          <w:color w:val="auto"/>
          <w:sz w:val="24"/>
          <w:szCs w:val="24"/>
          <w:highlight w:val="none"/>
          <w:lang w:eastAsia="zh-CN"/>
        </w:rPr>
      </w:pPr>
      <w:bookmarkStart w:id="107" w:name="_Toc455587222"/>
      <w:bookmarkStart w:id="108" w:name="_Toc445554695"/>
      <w:bookmarkStart w:id="109" w:name="_Toc458504824"/>
      <w:bookmarkStart w:id="110" w:name="_Toc466024506"/>
      <w:bookmarkStart w:id="111" w:name="_Toc455587038"/>
      <w:r>
        <w:rPr>
          <w:rFonts w:hint="eastAsia" w:ascii="仿宋" w:hAnsi="仿宋" w:eastAsia="仿宋" w:cs="仿宋"/>
          <w:color w:val="auto"/>
          <w:sz w:val="24"/>
          <w:szCs w:val="24"/>
          <w:highlight w:val="none"/>
          <w:lang w:eastAsia="zh-CN"/>
        </w:rPr>
        <w:t>1.7 语言文字</w:t>
      </w:r>
      <w:bookmarkEnd w:id="101"/>
      <w:bookmarkEnd w:id="102"/>
      <w:bookmarkEnd w:id="103"/>
      <w:bookmarkEnd w:id="104"/>
      <w:bookmarkEnd w:id="105"/>
      <w:bookmarkEnd w:id="106"/>
      <w:bookmarkEnd w:id="107"/>
      <w:bookmarkEnd w:id="108"/>
      <w:bookmarkEnd w:id="109"/>
      <w:bookmarkEnd w:id="110"/>
      <w:bookmarkEnd w:id="111"/>
    </w:p>
    <w:p w14:paraId="60458A7B">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除专用术语外，与磋商有关的语言均应当使用中文。必要时专用术语应附有中文注释。</w:t>
      </w:r>
    </w:p>
    <w:p w14:paraId="42CB4CD5">
      <w:pPr>
        <w:pStyle w:val="4"/>
        <w:adjustRightInd w:val="0"/>
        <w:ind w:firstLine="438" w:firstLineChars="200"/>
        <w:rPr>
          <w:rFonts w:hint="eastAsia" w:ascii="仿宋" w:hAnsi="仿宋" w:eastAsia="仿宋" w:cs="仿宋"/>
          <w:color w:val="auto"/>
          <w:sz w:val="24"/>
          <w:szCs w:val="24"/>
          <w:highlight w:val="none"/>
          <w:lang w:eastAsia="zh-CN"/>
        </w:rPr>
      </w:pPr>
      <w:bookmarkStart w:id="112" w:name="_Toc371415926"/>
      <w:bookmarkStart w:id="113" w:name="_Toc333599667"/>
      <w:bookmarkStart w:id="114" w:name="_Toc338944613"/>
      <w:bookmarkStart w:id="115" w:name="_Toc342297627"/>
      <w:bookmarkStart w:id="116" w:name="_Toc455587223"/>
      <w:bookmarkStart w:id="117" w:name="_Toc342296170"/>
      <w:bookmarkStart w:id="118" w:name="_Toc445554696"/>
      <w:bookmarkStart w:id="119" w:name="_Toc152045538"/>
      <w:bookmarkStart w:id="120" w:name="_Toc466024507"/>
      <w:bookmarkStart w:id="121" w:name="_Toc342294722"/>
      <w:bookmarkStart w:id="122" w:name="_Toc458504825"/>
      <w:bookmarkStart w:id="123" w:name="_Toc179632555"/>
      <w:bookmarkStart w:id="124" w:name="_Toc333587861"/>
      <w:bookmarkStart w:id="125" w:name="_Toc333600691"/>
      <w:bookmarkStart w:id="126" w:name="_Toc144974506"/>
      <w:bookmarkStart w:id="127" w:name="_Toc338943708"/>
      <w:bookmarkStart w:id="128" w:name="_Toc455587039"/>
      <w:bookmarkStart w:id="129" w:name="_Toc152042314"/>
      <w:r>
        <w:rPr>
          <w:rFonts w:hint="eastAsia" w:ascii="仿宋" w:hAnsi="仿宋" w:eastAsia="仿宋" w:cs="仿宋"/>
          <w:color w:val="auto"/>
          <w:sz w:val="24"/>
          <w:szCs w:val="24"/>
          <w:highlight w:val="none"/>
          <w:lang w:eastAsia="zh-CN"/>
        </w:rPr>
        <w:t>1.8 计量单位</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14:paraId="40571817">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除磋商文件另有规定外，所有计量均采用中华人民共和国法定计量单位。</w:t>
      </w:r>
    </w:p>
    <w:p w14:paraId="08336030">
      <w:pPr>
        <w:pStyle w:val="4"/>
        <w:adjustRightInd w:val="0"/>
        <w:ind w:firstLine="438" w:firstLineChars="200"/>
        <w:rPr>
          <w:rFonts w:hint="eastAsia" w:ascii="仿宋" w:hAnsi="仿宋" w:eastAsia="仿宋" w:cs="仿宋"/>
          <w:color w:val="auto"/>
          <w:sz w:val="24"/>
          <w:szCs w:val="24"/>
          <w:highlight w:val="none"/>
          <w:lang w:eastAsia="zh-CN"/>
        </w:rPr>
      </w:pPr>
      <w:bookmarkStart w:id="130" w:name="_Toc455587040"/>
      <w:bookmarkStart w:id="131" w:name="_Toc458504826"/>
      <w:bookmarkStart w:id="132" w:name="_Toc371415927"/>
      <w:bookmarkStart w:id="133" w:name="_Toc445554697"/>
      <w:bookmarkStart w:id="134" w:name="_Toc455587224"/>
      <w:bookmarkStart w:id="135" w:name="_Toc466024508"/>
      <w:bookmarkStart w:id="136" w:name="_Toc338943710"/>
      <w:bookmarkStart w:id="137" w:name="_Toc144974508"/>
      <w:bookmarkStart w:id="138" w:name="_Toc342297629"/>
      <w:bookmarkStart w:id="139" w:name="_Toc333600693"/>
      <w:bookmarkStart w:id="140" w:name="_Toc152042316"/>
      <w:bookmarkStart w:id="141" w:name="_Toc179632557"/>
      <w:bookmarkStart w:id="142" w:name="_Toc152045540"/>
      <w:bookmarkStart w:id="143" w:name="_Toc333587863"/>
      <w:bookmarkStart w:id="144" w:name="_Toc342294724"/>
      <w:bookmarkStart w:id="145" w:name="_Toc338944615"/>
      <w:bookmarkStart w:id="146" w:name="_Toc342296172"/>
      <w:bookmarkStart w:id="147" w:name="_Toc333599669"/>
      <w:r>
        <w:rPr>
          <w:rFonts w:hint="eastAsia" w:ascii="仿宋" w:hAnsi="仿宋" w:eastAsia="仿宋" w:cs="仿宋"/>
          <w:color w:val="auto"/>
          <w:sz w:val="24"/>
          <w:szCs w:val="24"/>
          <w:highlight w:val="none"/>
          <w:lang w:eastAsia="zh-CN"/>
        </w:rPr>
        <w:t>1.9</w:t>
      </w:r>
      <w:bookmarkEnd w:id="130"/>
      <w:bookmarkEnd w:id="131"/>
      <w:bookmarkEnd w:id="132"/>
      <w:bookmarkEnd w:id="133"/>
      <w:bookmarkEnd w:id="134"/>
      <w:r>
        <w:rPr>
          <w:rFonts w:hint="eastAsia" w:ascii="仿宋" w:hAnsi="仿宋" w:eastAsia="仿宋" w:cs="仿宋"/>
          <w:color w:val="auto"/>
          <w:sz w:val="24"/>
          <w:szCs w:val="24"/>
          <w:highlight w:val="none"/>
          <w:lang w:eastAsia="zh-CN"/>
        </w:rPr>
        <w:t xml:space="preserve"> 现场考察</w:t>
      </w:r>
      <w:bookmarkEnd w:id="135"/>
    </w:p>
    <w:p w14:paraId="1DC91108">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不组织</w:t>
      </w:r>
    </w:p>
    <w:p w14:paraId="4EEB009F">
      <w:pPr>
        <w:pStyle w:val="4"/>
        <w:adjustRightInd w:val="0"/>
        <w:ind w:firstLine="438" w:firstLineChars="200"/>
        <w:rPr>
          <w:rFonts w:hint="eastAsia" w:ascii="仿宋" w:hAnsi="仿宋" w:eastAsia="仿宋" w:cs="仿宋"/>
          <w:color w:val="auto"/>
          <w:sz w:val="24"/>
          <w:szCs w:val="24"/>
          <w:highlight w:val="none"/>
          <w:lang w:eastAsia="zh-CN"/>
        </w:rPr>
      </w:pPr>
      <w:bookmarkStart w:id="148" w:name="_Toc458504827"/>
      <w:bookmarkStart w:id="149" w:name="_Toc455587225"/>
      <w:bookmarkStart w:id="150" w:name="_Toc445554698"/>
      <w:bookmarkStart w:id="151" w:name="_Toc455587041"/>
      <w:bookmarkStart w:id="152" w:name="_Toc466024509"/>
      <w:r>
        <w:rPr>
          <w:rFonts w:hint="eastAsia" w:ascii="仿宋" w:hAnsi="仿宋" w:eastAsia="仿宋" w:cs="仿宋"/>
          <w:color w:val="auto"/>
          <w:sz w:val="24"/>
          <w:szCs w:val="24"/>
          <w:highlight w:val="none"/>
          <w:lang w:eastAsia="zh-CN"/>
        </w:rPr>
        <w:t>1.10</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Fonts w:hint="eastAsia" w:ascii="仿宋" w:hAnsi="仿宋" w:eastAsia="仿宋" w:cs="仿宋"/>
          <w:color w:val="auto"/>
          <w:sz w:val="24"/>
          <w:szCs w:val="24"/>
          <w:highlight w:val="none"/>
          <w:lang w:eastAsia="zh-CN"/>
        </w:rPr>
        <w:t xml:space="preserve"> 磋商前答疑会</w:t>
      </w:r>
      <w:bookmarkEnd w:id="152"/>
    </w:p>
    <w:p w14:paraId="3F979B2C">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不召开</w:t>
      </w:r>
    </w:p>
    <w:p w14:paraId="0EB42C04">
      <w:pPr>
        <w:pStyle w:val="4"/>
        <w:adjustRightInd w:val="0"/>
        <w:ind w:firstLine="438"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1.11 分包</w:t>
      </w:r>
    </w:p>
    <w:p w14:paraId="13629E11">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不允许</w:t>
      </w:r>
    </w:p>
    <w:p w14:paraId="54D70DEE">
      <w:pPr>
        <w:pStyle w:val="3"/>
        <w:spacing w:line="360" w:lineRule="auto"/>
        <w:rPr>
          <w:rStyle w:val="35"/>
          <w:rFonts w:hint="eastAsia" w:ascii="仿宋" w:hAnsi="仿宋" w:eastAsia="仿宋" w:cs="仿宋"/>
          <w:b/>
          <w:bCs/>
          <w:color w:val="auto"/>
          <w:sz w:val="24"/>
          <w:szCs w:val="24"/>
          <w:highlight w:val="none"/>
        </w:rPr>
      </w:pPr>
      <w:bookmarkStart w:id="153" w:name="_Toc152042318"/>
      <w:bookmarkStart w:id="154" w:name="_Toc338944618"/>
      <w:bookmarkStart w:id="155" w:name="_Toc144974510"/>
      <w:bookmarkStart w:id="156" w:name="_Toc342297632"/>
      <w:bookmarkStart w:id="157" w:name="_Toc179632560"/>
      <w:bookmarkStart w:id="158" w:name="_Toc455587227"/>
      <w:bookmarkStart w:id="159" w:name="_Toc371415929"/>
      <w:bookmarkStart w:id="160" w:name="_Toc445554700"/>
      <w:bookmarkStart w:id="161" w:name="_Toc455587043"/>
      <w:bookmarkStart w:id="162" w:name="_Toc152045542"/>
      <w:bookmarkStart w:id="163" w:name="_Toc458504828"/>
      <w:bookmarkStart w:id="164" w:name="_Toc342296175"/>
      <w:bookmarkStart w:id="165" w:name="_Toc466024510"/>
      <w:bookmarkStart w:id="166" w:name="_Toc338943713"/>
      <w:bookmarkStart w:id="167" w:name="_Toc342294727"/>
      <w:bookmarkStart w:id="168" w:name="_Toc333600696"/>
      <w:bookmarkStart w:id="169" w:name="_Toc333599672"/>
      <w:r>
        <w:rPr>
          <w:rStyle w:val="35"/>
          <w:rFonts w:hint="eastAsia" w:ascii="仿宋" w:hAnsi="仿宋" w:eastAsia="仿宋" w:cs="仿宋"/>
          <w:b/>
          <w:bCs/>
          <w:color w:val="auto"/>
          <w:sz w:val="24"/>
          <w:szCs w:val="24"/>
          <w:highlight w:val="none"/>
        </w:rPr>
        <w:t>2. 磋商文件</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14:paraId="6BDD56E2">
      <w:pPr>
        <w:pStyle w:val="4"/>
        <w:adjustRightInd w:val="0"/>
        <w:ind w:firstLine="438" w:firstLineChars="200"/>
        <w:rPr>
          <w:rFonts w:hint="eastAsia" w:ascii="仿宋" w:hAnsi="仿宋" w:eastAsia="仿宋" w:cs="仿宋"/>
          <w:color w:val="auto"/>
          <w:sz w:val="24"/>
          <w:szCs w:val="24"/>
          <w:highlight w:val="none"/>
          <w:lang w:eastAsia="zh-CN"/>
        </w:rPr>
      </w:pPr>
      <w:bookmarkStart w:id="170" w:name="_Toc455587228"/>
      <w:bookmarkStart w:id="171" w:name="_Toc144974511"/>
      <w:bookmarkStart w:id="172" w:name="_Toc466024511"/>
      <w:bookmarkStart w:id="173" w:name="_Toc333599673"/>
      <w:bookmarkStart w:id="174" w:name="_Toc152045543"/>
      <w:bookmarkStart w:id="175" w:name="_Toc342296176"/>
      <w:bookmarkStart w:id="176" w:name="_Toc445554701"/>
      <w:bookmarkStart w:id="177" w:name="_Toc338944619"/>
      <w:bookmarkStart w:id="178" w:name="_Toc152042319"/>
      <w:bookmarkStart w:id="179" w:name="_Toc458504829"/>
      <w:bookmarkStart w:id="180" w:name="_Toc179632561"/>
      <w:bookmarkStart w:id="181" w:name="_Toc333600697"/>
      <w:bookmarkStart w:id="182" w:name="_Toc342297633"/>
      <w:bookmarkStart w:id="183" w:name="_Toc342294728"/>
      <w:bookmarkStart w:id="184" w:name="_Toc455587044"/>
      <w:bookmarkStart w:id="185" w:name="_Toc338943714"/>
      <w:bookmarkStart w:id="186" w:name="_Toc333587867"/>
      <w:bookmarkStart w:id="187" w:name="_Toc371415930"/>
      <w:r>
        <w:rPr>
          <w:rFonts w:hint="eastAsia" w:ascii="仿宋" w:hAnsi="仿宋" w:eastAsia="仿宋" w:cs="仿宋"/>
          <w:color w:val="auto"/>
          <w:sz w:val="24"/>
          <w:szCs w:val="24"/>
          <w:highlight w:val="none"/>
          <w:lang w:eastAsia="zh-CN"/>
        </w:rPr>
        <w:t>2.1 磋商文件的组成</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14:paraId="70293B8C">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本磋商文件包括：</w:t>
      </w:r>
    </w:p>
    <w:p w14:paraId="0F6F7292">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（1）磋商公告；</w:t>
      </w:r>
    </w:p>
    <w:p w14:paraId="5B08488D">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（2）供应商须知；</w:t>
      </w:r>
    </w:p>
    <w:p w14:paraId="3E232DF2">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（3）采购需求；</w:t>
      </w:r>
    </w:p>
    <w:p w14:paraId="72DB09FE">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（4）磋商与评审办法；</w:t>
      </w:r>
    </w:p>
    <w:p w14:paraId="3D525281">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（5）合同主要条款和格式；</w:t>
      </w:r>
    </w:p>
    <w:p w14:paraId="0246F252">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（6）响应文件格式；</w:t>
      </w:r>
    </w:p>
    <w:p w14:paraId="16A27404">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（7）供应商须知前附表规定的其他材料。</w:t>
      </w:r>
    </w:p>
    <w:p w14:paraId="0B16E3CB">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对磋商文件所作的澄清、修改、补充通知，构成磋商文件的组成部分。当磋商文件、磋商文件的澄清或修改等在同一内容的表述上不一致时，以最后发出的书面文件为准。</w:t>
      </w:r>
    </w:p>
    <w:p w14:paraId="1183A4C9">
      <w:pPr>
        <w:pStyle w:val="4"/>
        <w:adjustRightInd w:val="0"/>
        <w:ind w:firstLine="438" w:firstLineChars="200"/>
        <w:rPr>
          <w:rFonts w:hint="eastAsia" w:ascii="仿宋" w:hAnsi="仿宋" w:eastAsia="仿宋" w:cs="仿宋"/>
          <w:color w:val="auto"/>
          <w:sz w:val="24"/>
          <w:szCs w:val="24"/>
          <w:highlight w:val="none"/>
          <w:lang w:eastAsia="zh-CN"/>
        </w:rPr>
      </w:pPr>
      <w:bookmarkStart w:id="188" w:name="_Toc144974512"/>
      <w:bookmarkStart w:id="189" w:name="_Toc300834965"/>
      <w:bookmarkStart w:id="190" w:name="_Toc455587045"/>
      <w:bookmarkStart w:id="191" w:name="_Toc152045544"/>
      <w:bookmarkStart w:id="192" w:name="_Toc371415931"/>
      <w:bookmarkStart w:id="193" w:name="_Toc247527569"/>
      <w:bookmarkStart w:id="194" w:name="_Toc466024512"/>
      <w:bookmarkStart w:id="195" w:name="_Toc455587229"/>
      <w:bookmarkStart w:id="196" w:name="_Toc445554702"/>
      <w:bookmarkStart w:id="197" w:name="_Toc247513968"/>
      <w:bookmarkStart w:id="198" w:name="_Toc458504830"/>
      <w:bookmarkStart w:id="199" w:name="_Toc152042320"/>
      <w:r>
        <w:rPr>
          <w:rFonts w:hint="eastAsia" w:ascii="仿宋" w:hAnsi="仿宋" w:eastAsia="仿宋" w:cs="仿宋"/>
          <w:color w:val="auto"/>
          <w:sz w:val="24"/>
          <w:szCs w:val="24"/>
          <w:highlight w:val="none"/>
          <w:lang w:eastAsia="zh-CN"/>
        </w:rPr>
        <w:t>2.2 磋商文件的澄清</w:t>
      </w:r>
      <w:bookmarkEnd w:id="188"/>
      <w:bookmarkEnd w:id="189"/>
      <w:bookmarkEnd w:id="190"/>
      <w:bookmarkEnd w:id="191"/>
      <w:bookmarkEnd w:id="192"/>
      <w:bookmarkEnd w:id="193"/>
      <w:bookmarkEnd w:id="194"/>
      <w:bookmarkEnd w:id="195"/>
      <w:bookmarkEnd w:id="196"/>
      <w:bookmarkEnd w:id="197"/>
      <w:bookmarkEnd w:id="198"/>
      <w:bookmarkEnd w:id="199"/>
    </w:p>
    <w:p w14:paraId="388050A5">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2.2.1 供应商应仔细阅读和检查磋商文件的全部内容。如发现缺页或附件不全，应及时向采购人提出，以便补齐。如有疑问，应按供应商须知前附表规定的时间和形式将提出的问题送达采购人，要求采购人对磋商文件予以澄清。</w:t>
      </w:r>
    </w:p>
    <w:p w14:paraId="2C08A48E">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2.2.2 磋商文件的澄清将以供应商须知前附表规定的形式发给所有购买磋商文件的供应商，但不指明澄清问题的来源。如果澄清发出的时间距本章第4.2.1项规定的提交响应文件截止之日不足5天的，并且澄清内容可能影响响应文件编制，将相应顺延提交响应文件截止时间。</w:t>
      </w:r>
    </w:p>
    <w:p w14:paraId="42D9A613">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2.2.3 供应商在收到澄清后，除供应商须知前附表另有规定外，应当在供应商须知前附表规定的时间内以书面形式通知采购人，确认已收到该澄清。</w:t>
      </w:r>
    </w:p>
    <w:p w14:paraId="397DAEA0">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2.2.4 除非采购人认为确有必要答复，否则，采购人有权拒绝回复供应商在本章第2.2.1项规定的时间后的任何澄清要求。  </w:t>
      </w:r>
    </w:p>
    <w:p w14:paraId="4BE9786E">
      <w:pPr>
        <w:pStyle w:val="4"/>
        <w:adjustRightInd w:val="0"/>
        <w:ind w:firstLine="438" w:firstLineChars="200"/>
        <w:rPr>
          <w:rFonts w:hint="eastAsia" w:ascii="仿宋" w:hAnsi="仿宋" w:eastAsia="仿宋" w:cs="仿宋"/>
          <w:color w:val="auto"/>
          <w:sz w:val="24"/>
          <w:szCs w:val="24"/>
          <w:highlight w:val="none"/>
          <w:lang w:eastAsia="zh-CN"/>
        </w:rPr>
      </w:pPr>
      <w:bookmarkStart w:id="200" w:name="_Toc152045545"/>
      <w:bookmarkStart w:id="201" w:name="_Toc466024513"/>
      <w:bookmarkStart w:id="202" w:name="_Toc144974513"/>
      <w:bookmarkStart w:id="203" w:name="_Toc455587046"/>
      <w:bookmarkStart w:id="204" w:name="_Toc152042321"/>
      <w:bookmarkStart w:id="205" w:name="_Toc458504831"/>
      <w:bookmarkStart w:id="206" w:name="_Toc247527570"/>
      <w:bookmarkStart w:id="207" w:name="_Toc300834966"/>
      <w:bookmarkStart w:id="208" w:name="_Toc371415932"/>
      <w:bookmarkStart w:id="209" w:name="_Toc455587230"/>
      <w:bookmarkStart w:id="210" w:name="_Toc445554703"/>
      <w:bookmarkStart w:id="211" w:name="_Toc247513969"/>
      <w:r>
        <w:rPr>
          <w:rFonts w:hint="eastAsia" w:ascii="仿宋" w:hAnsi="仿宋" w:eastAsia="仿宋" w:cs="仿宋"/>
          <w:color w:val="auto"/>
          <w:sz w:val="24"/>
          <w:szCs w:val="24"/>
          <w:highlight w:val="none"/>
          <w:lang w:eastAsia="zh-CN"/>
        </w:rPr>
        <w:t>2.3 磋商文件的修改</w:t>
      </w:r>
      <w:bookmarkEnd w:id="200"/>
      <w:bookmarkEnd w:id="201"/>
      <w:bookmarkEnd w:id="202"/>
      <w:bookmarkEnd w:id="203"/>
      <w:bookmarkEnd w:id="204"/>
      <w:bookmarkEnd w:id="205"/>
      <w:bookmarkEnd w:id="206"/>
      <w:bookmarkEnd w:id="207"/>
      <w:bookmarkEnd w:id="208"/>
      <w:bookmarkEnd w:id="209"/>
      <w:bookmarkEnd w:id="210"/>
      <w:bookmarkEnd w:id="211"/>
    </w:p>
    <w:p w14:paraId="6D22B3CB">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2.3.1 采购人供应商须知前附表规定的形式修改磋商文件，并通知所有购买磋商文件的供应商。如果修改磋商文件的时间距本章第4.2.1项规定的提交响应文件截止时间不足5天的，且修改内容影响响应文件编制，将相应顺延提交响应文件截止时间。 </w:t>
      </w:r>
    </w:p>
    <w:p w14:paraId="73B0AFE5">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2.3.2 供应商收到修改内容后，除供应商须知前附表另有规定外，应在供应商须知前附表规定的时间内以书面形式通知采购人，确认已收到该修改。</w:t>
      </w:r>
    </w:p>
    <w:p w14:paraId="427B8F0D">
      <w:pPr>
        <w:pStyle w:val="3"/>
        <w:spacing w:line="360" w:lineRule="auto"/>
        <w:rPr>
          <w:rStyle w:val="35"/>
          <w:rFonts w:hint="eastAsia" w:ascii="仿宋" w:hAnsi="仿宋" w:eastAsia="仿宋" w:cs="仿宋"/>
          <w:b/>
          <w:bCs/>
          <w:color w:val="auto"/>
          <w:sz w:val="24"/>
          <w:szCs w:val="24"/>
          <w:highlight w:val="none"/>
        </w:rPr>
      </w:pPr>
      <w:bookmarkStart w:id="212" w:name="_Toc179632564"/>
      <w:bookmarkStart w:id="213" w:name="_Toc455587232"/>
      <w:bookmarkStart w:id="214" w:name="_Toc371415933"/>
      <w:bookmarkStart w:id="215" w:name="_Toc458504832"/>
      <w:bookmarkStart w:id="216" w:name="_Toc445554705"/>
      <w:bookmarkStart w:id="217" w:name="_Toc333600700"/>
      <w:bookmarkStart w:id="218" w:name="_Toc144974514"/>
      <w:bookmarkStart w:id="219" w:name="_Toc342296179"/>
      <w:bookmarkStart w:id="220" w:name="_Toc152045546"/>
      <w:bookmarkStart w:id="221" w:name="_Toc338943717"/>
      <w:bookmarkStart w:id="222" w:name="_Toc342297636"/>
      <w:bookmarkStart w:id="223" w:name="_Toc342294731"/>
      <w:bookmarkStart w:id="224" w:name="_Toc455587048"/>
      <w:bookmarkStart w:id="225" w:name="_Toc333599676"/>
      <w:bookmarkStart w:id="226" w:name="_Toc338944622"/>
      <w:bookmarkStart w:id="227" w:name="_Toc466024514"/>
      <w:bookmarkStart w:id="228" w:name="_Toc152042322"/>
      <w:r>
        <w:rPr>
          <w:rStyle w:val="35"/>
          <w:rFonts w:hint="eastAsia" w:ascii="仿宋" w:hAnsi="仿宋" w:eastAsia="仿宋" w:cs="仿宋"/>
          <w:b/>
          <w:bCs/>
          <w:color w:val="auto"/>
          <w:sz w:val="24"/>
          <w:szCs w:val="24"/>
          <w:highlight w:val="none"/>
        </w:rPr>
        <w:t>3. 响应文件</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14:paraId="4022617A">
      <w:pPr>
        <w:pStyle w:val="4"/>
        <w:adjustRightInd w:val="0"/>
        <w:ind w:firstLine="438" w:firstLineChars="200"/>
        <w:rPr>
          <w:rFonts w:hint="eastAsia" w:ascii="仿宋" w:hAnsi="仿宋" w:eastAsia="仿宋" w:cs="仿宋"/>
          <w:color w:val="auto"/>
          <w:sz w:val="24"/>
          <w:szCs w:val="24"/>
          <w:highlight w:val="none"/>
          <w:lang w:eastAsia="zh-CN"/>
        </w:rPr>
      </w:pPr>
      <w:bookmarkStart w:id="229" w:name="_Toc152045547"/>
      <w:bookmarkStart w:id="230" w:name="_Toc458504833"/>
      <w:bookmarkStart w:id="231" w:name="_Toc445554706"/>
      <w:bookmarkStart w:id="232" w:name="_Toc342296180"/>
      <w:bookmarkStart w:id="233" w:name="_Toc342297637"/>
      <w:bookmarkStart w:id="234" w:name="_Toc333599677"/>
      <w:bookmarkStart w:id="235" w:name="_Toc371415934"/>
      <w:bookmarkStart w:id="236" w:name="_Toc333600701"/>
      <w:bookmarkStart w:id="237" w:name="_Toc455587049"/>
      <w:bookmarkStart w:id="238" w:name="_Toc338943718"/>
      <w:bookmarkStart w:id="239" w:name="_Toc342294732"/>
      <w:bookmarkStart w:id="240" w:name="_Toc455587233"/>
      <w:bookmarkStart w:id="241" w:name="_Toc152042323"/>
      <w:bookmarkStart w:id="242" w:name="_Toc144974515"/>
      <w:bookmarkStart w:id="243" w:name="_Toc338944623"/>
      <w:bookmarkStart w:id="244" w:name="_Toc179632565"/>
      <w:bookmarkStart w:id="245" w:name="_Toc333587871"/>
      <w:bookmarkStart w:id="246" w:name="_Toc466024515"/>
      <w:r>
        <w:rPr>
          <w:rFonts w:hint="eastAsia" w:ascii="仿宋" w:hAnsi="仿宋" w:eastAsia="仿宋" w:cs="仿宋"/>
          <w:color w:val="auto"/>
          <w:sz w:val="24"/>
          <w:szCs w:val="24"/>
          <w:highlight w:val="none"/>
          <w:lang w:eastAsia="zh-CN"/>
        </w:rPr>
        <w:t>3.1 响应文件的组成</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14:paraId="5004F122">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bookmarkStart w:id="247" w:name="_Toc144974516"/>
      <w:bookmarkStart w:id="248" w:name="_Toc338943719"/>
      <w:bookmarkStart w:id="249" w:name="_Toc152045548"/>
      <w:bookmarkStart w:id="250" w:name="_Toc338944624"/>
      <w:bookmarkStart w:id="251" w:name="_Toc333600702"/>
      <w:bookmarkStart w:id="252" w:name="_Toc342296181"/>
      <w:bookmarkStart w:id="253" w:name="_Toc179632566"/>
      <w:bookmarkStart w:id="254" w:name="_Toc333599678"/>
      <w:bookmarkStart w:id="255" w:name="_Toc342297638"/>
      <w:bookmarkStart w:id="256" w:name="_Toc152042324"/>
      <w:bookmarkStart w:id="257" w:name="_Toc342294733"/>
      <w:bookmarkStart w:id="258" w:name="_Toc333587872"/>
      <w:r>
        <w:rPr>
          <w:rFonts w:hint="eastAsia" w:ascii="仿宋" w:hAnsi="仿宋" w:eastAsia="仿宋" w:cs="仿宋"/>
          <w:color w:val="auto"/>
          <w:sz w:val="24"/>
          <w:szCs w:val="24"/>
          <w:highlight w:val="none"/>
        </w:rPr>
        <w:t>3.1.1 响应文件应包括下列内容：</w:t>
      </w:r>
    </w:p>
    <w:p w14:paraId="0E5FE8B4">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（1）响应函；</w:t>
      </w:r>
    </w:p>
    <w:p w14:paraId="2B5A7961">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报价函</w:t>
      </w:r>
      <w:r>
        <w:rPr>
          <w:rFonts w:hint="eastAsia" w:ascii="仿宋" w:hAnsi="仿宋" w:eastAsia="仿宋" w:cs="仿宋"/>
          <w:color w:val="auto"/>
          <w:sz w:val="24"/>
          <w:szCs w:val="24"/>
          <w:highlight w:val="none"/>
        </w:rPr>
        <w:t>；</w:t>
      </w:r>
    </w:p>
    <w:p w14:paraId="1C3CB78C">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分项报价表</w:t>
      </w:r>
      <w:r>
        <w:rPr>
          <w:rFonts w:hint="eastAsia" w:ascii="仿宋" w:hAnsi="仿宋" w:eastAsia="仿宋" w:cs="仿宋"/>
          <w:color w:val="auto"/>
          <w:sz w:val="24"/>
          <w:szCs w:val="24"/>
          <w:highlight w:val="none"/>
        </w:rPr>
        <w:t>；</w:t>
      </w:r>
    </w:p>
    <w:p w14:paraId="3846365C">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营业执照</w:t>
      </w:r>
      <w:r>
        <w:rPr>
          <w:rFonts w:hint="eastAsia" w:ascii="仿宋" w:hAnsi="仿宋" w:eastAsia="仿宋" w:cs="仿宋"/>
          <w:color w:val="auto"/>
          <w:sz w:val="24"/>
          <w:szCs w:val="24"/>
          <w:highlight w:val="none"/>
        </w:rPr>
        <w:t>；</w:t>
      </w:r>
    </w:p>
    <w:p w14:paraId="0986DFE9">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（5）设计方案；</w:t>
      </w:r>
    </w:p>
    <w:p w14:paraId="1797FFB0">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（6）涉及详细评审的资料；</w:t>
      </w:r>
    </w:p>
    <w:p w14:paraId="678D9DC8">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（7）技术规格/响应偏离表</w:t>
      </w:r>
    </w:p>
    <w:p w14:paraId="19361E47">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（8）书面承诺函；</w:t>
      </w:r>
    </w:p>
    <w:p w14:paraId="7620F165">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（9）供应商认为需要提交的其他文件；</w:t>
      </w:r>
    </w:p>
    <w:p w14:paraId="099B0042">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供应商在磋商、评审过程中作出的符合法律法规和磋商文件规定的澄清确认，构成响应文件的组成部分。</w:t>
      </w:r>
    </w:p>
    <w:p w14:paraId="6B815C5B">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3.1.2供应商应按照供应商须知前附表规定的内容、数量、时间、地点等要求提供样品。</w:t>
      </w:r>
    </w:p>
    <w:p w14:paraId="08ADE602">
      <w:pPr>
        <w:pStyle w:val="4"/>
        <w:adjustRightInd w:val="0"/>
        <w:ind w:firstLine="438" w:firstLineChars="200"/>
        <w:rPr>
          <w:rFonts w:hint="eastAsia" w:ascii="仿宋" w:hAnsi="仿宋" w:eastAsia="仿宋" w:cs="仿宋"/>
          <w:color w:val="auto"/>
          <w:sz w:val="24"/>
          <w:szCs w:val="24"/>
          <w:highlight w:val="none"/>
          <w:lang w:eastAsia="zh-CN"/>
        </w:rPr>
      </w:pPr>
      <w:bookmarkStart w:id="259" w:name="_Toc466024516"/>
      <w:bookmarkStart w:id="260" w:name="_Toc445554707"/>
      <w:bookmarkStart w:id="261" w:name="_Toc455587050"/>
      <w:bookmarkStart w:id="262" w:name="_Toc458504834"/>
      <w:bookmarkStart w:id="263" w:name="_Toc455587234"/>
      <w:r>
        <w:rPr>
          <w:rFonts w:hint="eastAsia" w:ascii="仿宋" w:hAnsi="仿宋" w:eastAsia="仿宋" w:cs="仿宋"/>
          <w:color w:val="auto"/>
          <w:sz w:val="24"/>
          <w:szCs w:val="24"/>
          <w:highlight w:val="none"/>
          <w:lang w:eastAsia="zh-CN"/>
        </w:rPr>
        <w:t>3.2 响应报价</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Start w:id="264" w:name="_Toc370199958"/>
    </w:p>
    <w:p w14:paraId="4E31B673">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3.2.1 响应报价应当包括的内容见供应商须知前附表规定。供应商应当按磋商文件规定进行响应报价，并按给定格式填写响应报价表格。</w:t>
      </w:r>
      <w:bookmarkEnd w:id="264"/>
      <w:bookmarkStart w:id="265" w:name="_Toc370199959"/>
    </w:p>
    <w:p w14:paraId="154B8D27">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3.2.2 供应商应充分了解该项目的总体情况以及影响报价的其他要素。</w:t>
      </w:r>
    </w:p>
    <w:p w14:paraId="574F7835">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3.2.3 提交两个或两个以上的响应报价，或者任何有选择性的报价或者有附加条件的报价的响应文件将按无效处理，供应商须知前附表允许提交备选方案的除外。</w:t>
      </w:r>
    </w:p>
    <w:p w14:paraId="287E94C8">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3.2.4响应报价为各分项报价之和。如分项报价中存在缺漏项，则视为缺漏项价格已包含在其他分项报价之中。供应商在提交响应文件截止时间前修改响应报价一览表中的响应报价总额，应同时修改响应文件“分项报价表”中的相应报价。此修改须符合本章第4.3款的有关要求。</w:t>
      </w:r>
    </w:p>
    <w:p w14:paraId="7CF145AA">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3.2.5 采购人设有最高限价的，响应报价不得超过最高限价，否则响应文件无效，最高限价在供应商须知前附表中载明。</w:t>
      </w:r>
    </w:p>
    <w:p w14:paraId="0BBAD5F4">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3.2.6 响应报价的其他要求见供应商须知前附表。</w:t>
      </w:r>
    </w:p>
    <w:bookmarkEnd w:id="265"/>
    <w:p w14:paraId="16760EAC">
      <w:pPr>
        <w:pStyle w:val="4"/>
        <w:adjustRightInd w:val="0"/>
        <w:ind w:firstLine="438" w:firstLineChars="200"/>
        <w:rPr>
          <w:rFonts w:hint="eastAsia" w:ascii="仿宋" w:hAnsi="仿宋" w:eastAsia="仿宋" w:cs="仿宋"/>
          <w:color w:val="auto"/>
          <w:sz w:val="24"/>
          <w:szCs w:val="24"/>
          <w:highlight w:val="none"/>
          <w:lang w:eastAsia="zh-CN"/>
        </w:rPr>
      </w:pPr>
      <w:bookmarkStart w:id="266" w:name="_Toc333599679"/>
      <w:bookmarkStart w:id="267" w:name="_Toc338943720"/>
      <w:bookmarkStart w:id="268" w:name="_Toc152042325"/>
      <w:bookmarkStart w:id="269" w:name="_Toc342294734"/>
      <w:bookmarkStart w:id="270" w:name="_Toc152045549"/>
      <w:bookmarkStart w:id="271" w:name="_Toc455587235"/>
      <w:bookmarkStart w:id="272" w:name="_Toc333587873"/>
      <w:bookmarkStart w:id="273" w:name="_Toc338944625"/>
      <w:bookmarkStart w:id="274" w:name="_Toc445554708"/>
      <w:bookmarkStart w:id="275" w:name="_Toc342297639"/>
      <w:bookmarkStart w:id="276" w:name="_Toc342296182"/>
      <w:bookmarkStart w:id="277" w:name="_Toc455587051"/>
      <w:bookmarkStart w:id="278" w:name="_Toc458504835"/>
      <w:bookmarkStart w:id="279" w:name="_Toc466024517"/>
      <w:bookmarkStart w:id="280" w:name="_Toc144974517"/>
      <w:bookmarkStart w:id="281" w:name="_Toc179632567"/>
      <w:bookmarkStart w:id="282" w:name="_Toc371415937"/>
      <w:bookmarkStart w:id="283" w:name="_Toc333600703"/>
      <w:r>
        <w:rPr>
          <w:rFonts w:hint="eastAsia" w:ascii="仿宋" w:hAnsi="仿宋" w:eastAsia="仿宋" w:cs="仿宋"/>
          <w:color w:val="auto"/>
          <w:sz w:val="24"/>
          <w:szCs w:val="24"/>
          <w:highlight w:val="none"/>
          <w:lang w:eastAsia="zh-CN"/>
        </w:rPr>
        <w:t>3.3 响应文件有效期</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14:paraId="7DD8A526">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3.3.1 在供应商须知前附表规定中的响应文件有效期内，响应文件保持有效，供应商不得要求撤销或修改其响应文件，否则应承担磋商文件和法律法规规定的责任。</w:t>
      </w:r>
    </w:p>
    <w:p w14:paraId="090E042A">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3.3.2出现特殊情况需要延长响应有效期的，采购人以书面形式通知所有供应商延长响应有效期。供应商同意延长的，应当相应延长其响应保证金的有效期，但不得要求或被允许修改或撤销其响应文件；供应商拒绝延长的，其响应文件失效，但供应商有权收回其响应保证金。</w:t>
      </w:r>
    </w:p>
    <w:p w14:paraId="79F97946">
      <w:pPr>
        <w:pStyle w:val="4"/>
        <w:adjustRightInd w:val="0"/>
        <w:ind w:firstLine="438" w:firstLineChars="200"/>
        <w:rPr>
          <w:rFonts w:hint="eastAsia" w:ascii="仿宋" w:hAnsi="仿宋" w:eastAsia="仿宋" w:cs="仿宋"/>
          <w:color w:val="auto"/>
          <w:sz w:val="24"/>
          <w:szCs w:val="24"/>
          <w:highlight w:val="none"/>
          <w:lang w:eastAsia="zh-CN"/>
        </w:rPr>
      </w:pPr>
      <w:bookmarkStart w:id="284" w:name="_Toc371415938"/>
      <w:bookmarkStart w:id="285" w:name="_Toc455587052"/>
      <w:bookmarkStart w:id="286" w:name="_Toc333600704"/>
      <w:bookmarkStart w:id="287" w:name="_Toc338944626"/>
      <w:bookmarkStart w:id="288" w:name="_Toc455587236"/>
      <w:bookmarkStart w:id="289" w:name="_Toc152042326"/>
      <w:bookmarkStart w:id="290" w:name="_Toc342296183"/>
      <w:bookmarkStart w:id="291" w:name="_Toc466024518"/>
      <w:bookmarkStart w:id="292" w:name="_Toc458504836"/>
      <w:bookmarkStart w:id="293" w:name="_Toc333599680"/>
      <w:bookmarkStart w:id="294" w:name="_Toc342294735"/>
      <w:bookmarkStart w:id="295" w:name="_Toc152045550"/>
      <w:bookmarkStart w:id="296" w:name="_Toc333587874"/>
      <w:bookmarkStart w:id="297" w:name="_Toc342297640"/>
      <w:bookmarkStart w:id="298" w:name="_Toc338943721"/>
      <w:bookmarkStart w:id="299" w:name="_Toc445554709"/>
      <w:bookmarkStart w:id="300" w:name="_Toc179632568"/>
      <w:bookmarkStart w:id="301" w:name="_Toc144974518"/>
      <w:r>
        <w:rPr>
          <w:rFonts w:hint="eastAsia" w:ascii="仿宋" w:hAnsi="仿宋" w:eastAsia="仿宋" w:cs="仿宋"/>
          <w:color w:val="auto"/>
          <w:sz w:val="24"/>
          <w:szCs w:val="24"/>
          <w:highlight w:val="none"/>
          <w:lang w:eastAsia="zh-CN"/>
        </w:rPr>
        <w:t>3.4 磋商保证金</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1B2CE592">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3.4.1 供应商在提交响应文件的同时，应按供应商须知前附表规定提交磋商保证金，并作为其响应文件的组成部分。</w:t>
      </w:r>
    </w:p>
    <w:p w14:paraId="0425A6A6">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3.4.2 磋商保证金用于保护免受因供应商的行为而引起的风险。</w:t>
      </w:r>
    </w:p>
    <w:p w14:paraId="5CC89504">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3.4.3 供应商不按本章第3.4.1项</w:t>
      </w:r>
      <w:bookmarkStart w:id="302" w:name="_Toc361508602"/>
      <w:bookmarkStart w:id="303" w:name="_Toc29025"/>
      <w:bookmarkStart w:id="304" w:name="_Toc352691490"/>
      <w:bookmarkStart w:id="305" w:name="_Toc369531533"/>
      <w:bookmarkStart w:id="306" w:name="_Toc384308227"/>
      <w:r>
        <w:rPr>
          <w:rFonts w:hint="eastAsia" w:ascii="仿宋" w:hAnsi="仿宋" w:eastAsia="仿宋" w:cs="仿宋"/>
          <w:color w:val="auto"/>
          <w:sz w:val="24"/>
          <w:szCs w:val="24"/>
          <w:highlight w:val="none"/>
        </w:rPr>
        <w:t>要求提交磋商保证金的，</w:t>
      </w:r>
      <w:bookmarkEnd w:id="302"/>
      <w:bookmarkEnd w:id="303"/>
      <w:bookmarkEnd w:id="304"/>
      <w:bookmarkEnd w:id="305"/>
      <w:bookmarkEnd w:id="306"/>
      <w:r>
        <w:rPr>
          <w:rFonts w:hint="eastAsia" w:ascii="仿宋" w:hAnsi="仿宋" w:eastAsia="仿宋" w:cs="仿宋"/>
          <w:color w:val="auto"/>
          <w:sz w:val="24"/>
          <w:szCs w:val="24"/>
          <w:highlight w:val="none"/>
        </w:rPr>
        <w:t>其响应文件无效。</w:t>
      </w:r>
    </w:p>
    <w:p w14:paraId="69A8504E">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3.4.4 自成交通知书发出之日起5个工作日内退还未成交供应商的磋商保证金，自采购合同签订之日起5个工作日内并支付采购代理服务费用后，退还成交供应商的磋商保证金。</w:t>
      </w:r>
    </w:p>
    <w:p w14:paraId="3416B1F0">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3.4.5 有下列情形之一的，磋商保证金不予退还，供应商还应承担法律法规规定的其他责任：</w:t>
      </w:r>
    </w:p>
    <w:p w14:paraId="68A9B89C">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（1）供应商在提交响应文件截止时间后撤回响应文件的；</w:t>
      </w:r>
    </w:p>
    <w:p w14:paraId="06EB24F1">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（2）供应商在响应文件中提供虚假材料的；</w:t>
      </w:r>
    </w:p>
    <w:p w14:paraId="6C6EA286">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（3）除因不可抗力或磋商文件认可的情形以外，成交供应商不与采购人签订合同的；</w:t>
      </w:r>
    </w:p>
    <w:p w14:paraId="4EF72412">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（4）供应商与采购人、其他供应商或者采购代理机构恶意串通的；</w:t>
      </w:r>
    </w:p>
    <w:p w14:paraId="5CA5B549">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（5）成交供应商在签订合同时向采购人提出附加条件，或者不按照磋商文件要求提交履约保证金；</w:t>
      </w:r>
    </w:p>
    <w:p w14:paraId="40B55A79">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（6）法律法规规定其他情形；</w:t>
      </w:r>
    </w:p>
    <w:p w14:paraId="27C73FF9">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（7）供应商须知前附表规定的其他情形。</w:t>
      </w:r>
    </w:p>
    <w:p w14:paraId="619C486E">
      <w:pPr>
        <w:pStyle w:val="4"/>
        <w:adjustRightInd w:val="0"/>
        <w:ind w:firstLine="438" w:firstLineChars="200"/>
        <w:rPr>
          <w:rFonts w:hint="eastAsia" w:ascii="仿宋" w:hAnsi="仿宋" w:eastAsia="仿宋" w:cs="仿宋"/>
          <w:color w:val="auto"/>
          <w:sz w:val="24"/>
          <w:szCs w:val="24"/>
          <w:highlight w:val="none"/>
          <w:lang w:eastAsia="zh-CN"/>
        </w:rPr>
      </w:pPr>
      <w:bookmarkStart w:id="307" w:name="_Toc371415940"/>
      <w:bookmarkStart w:id="308" w:name="_Toc342297642"/>
      <w:bookmarkStart w:id="309" w:name="_Toc179632570"/>
      <w:bookmarkStart w:id="310" w:name="_Toc445554711"/>
      <w:bookmarkStart w:id="311" w:name="_Toc338943723"/>
      <w:bookmarkStart w:id="312" w:name="_Toc144974520"/>
      <w:bookmarkStart w:id="313" w:name="_Toc338944628"/>
      <w:bookmarkStart w:id="314" w:name="_Toc455587054"/>
      <w:bookmarkStart w:id="315" w:name="_Toc455587238"/>
      <w:bookmarkStart w:id="316" w:name="_Toc152045552"/>
      <w:bookmarkStart w:id="317" w:name="_Toc333587876"/>
      <w:bookmarkStart w:id="318" w:name="_Toc342294737"/>
      <w:bookmarkStart w:id="319" w:name="_Toc152042328"/>
      <w:bookmarkStart w:id="320" w:name="_Toc333599682"/>
      <w:bookmarkStart w:id="321" w:name="_Toc466024520"/>
      <w:bookmarkStart w:id="322" w:name="_Toc342296185"/>
      <w:bookmarkStart w:id="323" w:name="_Toc333600706"/>
      <w:bookmarkStart w:id="324" w:name="_Toc458504838"/>
      <w:r>
        <w:rPr>
          <w:rFonts w:hint="eastAsia" w:ascii="仿宋" w:hAnsi="仿宋" w:eastAsia="仿宋" w:cs="仿宋"/>
          <w:color w:val="auto"/>
          <w:sz w:val="24"/>
          <w:szCs w:val="24"/>
          <w:highlight w:val="none"/>
          <w:lang w:eastAsia="zh-CN"/>
        </w:rPr>
        <w:t>3.5 资格审查资料</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14:paraId="61031BE5">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bookmarkStart w:id="325" w:name="_Toc458504841"/>
      <w:bookmarkStart w:id="326" w:name="_Toc455587057"/>
      <w:bookmarkStart w:id="327" w:name="_Toc455587241"/>
      <w:bookmarkStart w:id="328" w:name="_Toc466024523"/>
      <w:bookmarkStart w:id="329" w:name="_Toc371415942"/>
      <w:bookmarkStart w:id="330" w:name="_Toc445554714"/>
      <w:r>
        <w:rPr>
          <w:rFonts w:hint="eastAsia" w:ascii="仿宋" w:hAnsi="仿宋" w:eastAsia="仿宋" w:cs="仿宋"/>
          <w:color w:val="auto"/>
          <w:sz w:val="24"/>
          <w:szCs w:val="24"/>
          <w:highlight w:val="none"/>
        </w:rPr>
        <w:t>按磋商文件要求进行编写，并提供符合要求的相关证明材料的复印件（加盖供应商公章）。</w:t>
      </w:r>
    </w:p>
    <w:p w14:paraId="71C06728">
      <w:pPr>
        <w:pStyle w:val="4"/>
        <w:adjustRightInd w:val="0"/>
        <w:ind w:firstLine="438"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3.6 响应文件的编制</w:t>
      </w:r>
      <w:bookmarkEnd w:id="325"/>
      <w:bookmarkEnd w:id="326"/>
      <w:bookmarkEnd w:id="327"/>
      <w:bookmarkEnd w:id="328"/>
      <w:bookmarkEnd w:id="329"/>
      <w:bookmarkEnd w:id="330"/>
    </w:p>
    <w:p w14:paraId="3A68654C">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bookmarkStart w:id="331" w:name="_Toc152042331"/>
      <w:bookmarkStart w:id="332" w:name="_Toc455587242"/>
      <w:bookmarkStart w:id="333" w:name="_Toc338943726"/>
      <w:bookmarkStart w:id="334" w:name="_Toc333600709"/>
      <w:bookmarkStart w:id="335" w:name="_Toc342297645"/>
      <w:bookmarkStart w:id="336" w:name="_Toc144974523"/>
      <w:bookmarkStart w:id="337" w:name="_Toc445554715"/>
      <w:bookmarkStart w:id="338" w:name="_Toc371415943"/>
      <w:bookmarkStart w:id="339" w:name="_Toc338944631"/>
      <w:bookmarkStart w:id="340" w:name="_Toc342296188"/>
      <w:bookmarkStart w:id="341" w:name="_Toc152045555"/>
      <w:bookmarkStart w:id="342" w:name="_Toc333599685"/>
      <w:bookmarkStart w:id="343" w:name="_Toc342294740"/>
      <w:bookmarkStart w:id="344" w:name="_Toc455587058"/>
      <w:bookmarkStart w:id="345" w:name="_Toc179632573"/>
      <w:bookmarkStart w:id="346" w:name="_Toc466024524"/>
      <w:bookmarkStart w:id="347" w:name="_Toc458504842"/>
      <w:r>
        <w:rPr>
          <w:rFonts w:hint="eastAsia" w:ascii="仿宋" w:hAnsi="仿宋" w:eastAsia="仿宋" w:cs="仿宋"/>
          <w:color w:val="auto"/>
          <w:sz w:val="24"/>
          <w:szCs w:val="24"/>
          <w:highlight w:val="none"/>
        </w:rPr>
        <w:t>3.6.1 响应文件应按第六章“响应文件格式”进行编写，如有必要，可以增加附页，作为响应文件的组成部分。其中，投标函附录在满足响应文件实质性要求的基础上，可以提出比响应文件要求更有利于采购人的承诺。</w:t>
      </w:r>
    </w:p>
    <w:p w14:paraId="77C1990E">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3.6.2 响应文件应当对响应文件有关响应有效期、委托人要求、采购范围等实质性内容作出响应。</w:t>
      </w:r>
    </w:p>
    <w:p w14:paraId="5D0D6DEA">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3.6.3 （1）响应文件由供应商使用优质采云采购平台提供的“投标文件制作工具”制作生成。“投标文件制作工具”可以通过优质采云采购平台下载。</w:t>
      </w:r>
    </w:p>
    <w:p w14:paraId="4A1C3EE4">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在第六章“响应文件格式”中要求盖单位章和（或）签字处，供应商应加盖供应商单位电子印章和（或）法定代表人的个人电子印章/电子签名章。联合体投标的，除联合体协议书外，响应文件由联合体牵头人按上述规定加盖联合体牵头人单位电子印章和（或）法定代表人的个人电子印章/电子签名章。</w:t>
      </w:r>
    </w:p>
    <w:p w14:paraId="5F50A593">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响应文件制作完成后，供应商应对响应文件进行文件加密，形成加密的响应文件。采用数字证书加密的，加密时响应文件的所有内容均只能使用同一把数字证书进行加密，否则引起的解密失败责任由供应商自行承担。</w:t>
      </w:r>
    </w:p>
    <w:p w14:paraId="27620E6E">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（4）响应文件制作的具体方法详见“投标文件制作工具”中的帮助文档。</w:t>
      </w:r>
    </w:p>
    <w:p w14:paraId="67435D8F">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3.6.4 响应文件相关要求提醒：见供应商须知前附表。</w:t>
      </w:r>
    </w:p>
    <w:p w14:paraId="02773CF8">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3.6.5 其他说明：见供应商须知前附表。</w:t>
      </w:r>
    </w:p>
    <w:p w14:paraId="4DA5AF3C">
      <w:pPr>
        <w:pStyle w:val="3"/>
        <w:spacing w:line="360" w:lineRule="auto"/>
        <w:rPr>
          <w:rStyle w:val="35"/>
          <w:rFonts w:hint="eastAsia" w:ascii="仿宋" w:hAnsi="仿宋" w:eastAsia="仿宋" w:cs="仿宋"/>
          <w:b/>
          <w:bCs/>
          <w:color w:val="auto"/>
          <w:sz w:val="24"/>
          <w:szCs w:val="24"/>
          <w:highlight w:val="none"/>
        </w:rPr>
      </w:pPr>
      <w:r>
        <w:rPr>
          <w:rStyle w:val="35"/>
          <w:rFonts w:hint="eastAsia" w:ascii="仿宋" w:hAnsi="仿宋" w:eastAsia="仿宋" w:cs="仿宋"/>
          <w:b/>
          <w:bCs/>
          <w:color w:val="auto"/>
          <w:sz w:val="24"/>
          <w:szCs w:val="24"/>
          <w:highlight w:val="none"/>
        </w:rPr>
        <w:t xml:space="preserve">4. </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rStyle w:val="35"/>
          <w:rFonts w:hint="eastAsia" w:ascii="仿宋" w:hAnsi="仿宋" w:eastAsia="仿宋" w:cs="仿宋"/>
          <w:b/>
          <w:bCs/>
          <w:color w:val="auto"/>
          <w:sz w:val="24"/>
          <w:szCs w:val="24"/>
          <w:highlight w:val="none"/>
        </w:rPr>
        <w:t>响应文件的提交</w:t>
      </w:r>
    </w:p>
    <w:p w14:paraId="42C68E17">
      <w:pPr>
        <w:pStyle w:val="4"/>
        <w:adjustRightInd w:val="0"/>
        <w:ind w:firstLine="438" w:firstLineChars="200"/>
        <w:rPr>
          <w:rFonts w:hint="eastAsia" w:ascii="仿宋" w:hAnsi="仿宋" w:eastAsia="仿宋" w:cs="仿宋"/>
          <w:color w:val="auto"/>
          <w:sz w:val="24"/>
          <w:szCs w:val="24"/>
          <w:highlight w:val="none"/>
          <w:lang w:eastAsia="zh-CN"/>
        </w:rPr>
      </w:pPr>
      <w:bookmarkStart w:id="348" w:name="_Toc333599686"/>
      <w:bookmarkStart w:id="349" w:name="_Toc152045556"/>
      <w:bookmarkStart w:id="350" w:name="_Toc333600710"/>
      <w:bookmarkStart w:id="351" w:name="_Toc333587880"/>
      <w:bookmarkStart w:id="352" w:name="_Toc144974524"/>
      <w:bookmarkStart w:id="353" w:name="_Toc152042332"/>
      <w:bookmarkStart w:id="354" w:name="_Toc179632574"/>
      <w:bookmarkStart w:id="355" w:name="_Toc338944632"/>
      <w:bookmarkStart w:id="356" w:name="_Toc371415944"/>
      <w:bookmarkStart w:id="357" w:name="_Toc338943727"/>
      <w:bookmarkStart w:id="358" w:name="_Toc445554716"/>
      <w:bookmarkStart w:id="359" w:name="_Toc342297646"/>
      <w:bookmarkStart w:id="360" w:name="_Toc342296189"/>
      <w:bookmarkStart w:id="361" w:name="_Toc342294741"/>
      <w:bookmarkStart w:id="362" w:name="_Toc455587059"/>
      <w:bookmarkStart w:id="363" w:name="_Toc455587243"/>
      <w:bookmarkStart w:id="364" w:name="_Toc458504843"/>
      <w:bookmarkStart w:id="365" w:name="_Toc466024525"/>
      <w:bookmarkStart w:id="366" w:name="_Toc342296192"/>
      <w:bookmarkStart w:id="367" w:name="_Toc342297649"/>
      <w:bookmarkStart w:id="368" w:name="_Toc371415947"/>
      <w:bookmarkStart w:id="369" w:name="_Toc179632577"/>
      <w:bookmarkStart w:id="370" w:name="_Toc338944635"/>
      <w:bookmarkStart w:id="371" w:name="_Toc455587246"/>
      <w:bookmarkStart w:id="372" w:name="_Toc458504846"/>
      <w:bookmarkStart w:id="373" w:name="_Toc445554719"/>
      <w:bookmarkStart w:id="374" w:name="_Toc333599689"/>
      <w:bookmarkStart w:id="375" w:name="_Toc466024528"/>
      <w:bookmarkStart w:id="376" w:name="_Toc144974527"/>
      <w:bookmarkStart w:id="377" w:name="_Toc338943730"/>
      <w:bookmarkStart w:id="378" w:name="_Toc333600713"/>
      <w:bookmarkStart w:id="379" w:name="_Toc152042335"/>
      <w:bookmarkStart w:id="380" w:name="_Toc152045559"/>
      <w:bookmarkStart w:id="381" w:name="_Toc455587062"/>
      <w:bookmarkStart w:id="382" w:name="_Toc342294744"/>
      <w:r>
        <w:rPr>
          <w:rFonts w:hint="eastAsia" w:ascii="仿宋" w:hAnsi="仿宋" w:eastAsia="仿宋" w:cs="仿宋"/>
          <w:color w:val="auto"/>
          <w:sz w:val="24"/>
          <w:szCs w:val="24"/>
          <w:highlight w:val="none"/>
          <w:lang w:eastAsia="zh-CN"/>
        </w:rPr>
        <w:t>4.1 响应文件的密封和</w:t>
      </w:r>
      <w:bookmarkEnd w:id="348"/>
      <w:bookmarkEnd w:id="349"/>
      <w:bookmarkEnd w:id="350"/>
      <w:bookmarkEnd w:id="351"/>
      <w:bookmarkEnd w:id="352"/>
      <w:bookmarkEnd w:id="353"/>
      <w:bookmarkEnd w:id="354"/>
      <w:r>
        <w:rPr>
          <w:rFonts w:hint="eastAsia" w:ascii="仿宋" w:hAnsi="仿宋" w:eastAsia="仿宋" w:cs="仿宋"/>
          <w:color w:val="auto"/>
          <w:sz w:val="24"/>
          <w:szCs w:val="24"/>
          <w:highlight w:val="none"/>
          <w:lang w:eastAsia="zh-CN"/>
        </w:rPr>
        <w:t>标识</w:t>
      </w:r>
      <w:bookmarkEnd w:id="355"/>
      <w:bookmarkEnd w:id="356"/>
      <w:bookmarkEnd w:id="357"/>
      <w:bookmarkEnd w:id="358"/>
      <w:bookmarkEnd w:id="359"/>
      <w:bookmarkEnd w:id="360"/>
      <w:bookmarkEnd w:id="361"/>
      <w:bookmarkEnd w:id="362"/>
      <w:bookmarkEnd w:id="363"/>
      <w:bookmarkEnd w:id="364"/>
      <w:bookmarkEnd w:id="365"/>
    </w:p>
    <w:p w14:paraId="68A7E2B4">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bookmarkStart w:id="383" w:name="_Toc466024526"/>
      <w:bookmarkStart w:id="384" w:name="_Toc455587060"/>
      <w:bookmarkStart w:id="385" w:name="_Toc458504844"/>
      <w:bookmarkStart w:id="386" w:name="_Toc371415945"/>
      <w:bookmarkStart w:id="387" w:name="_Toc445554717"/>
      <w:bookmarkStart w:id="388" w:name="_Toc455587244"/>
      <w:r>
        <w:rPr>
          <w:rFonts w:hint="eastAsia" w:ascii="仿宋" w:hAnsi="仿宋" w:eastAsia="仿宋" w:cs="仿宋"/>
          <w:color w:val="auto"/>
          <w:sz w:val="24"/>
          <w:szCs w:val="24"/>
          <w:highlight w:val="none"/>
        </w:rPr>
        <w:t>4.1.1 供应商应当按照磋商文件和优质采云采购平台的要求加密电子响应文件。</w:t>
      </w:r>
    </w:p>
    <w:p w14:paraId="69541E29">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4.1.2 如需递交未加密的电子响应文件和纸质响应文件，未加密的电子响应文件（光盘或者 U 盘，格式为 bzc 格式）应封装在信封中，纸质响应文件应装订成册并封装，响应文件封套上应写明的内容见供应商须知前附表。</w:t>
      </w:r>
    </w:p>
    <w:p w14:paraId="58DBB541">
      <w:pPr>
        <w:pStyle w:val="4"/>
        <w:adjustRightInd w:val="0"/>
        <w:ind w:firstLine="438" w:firstLineChars="200"/>
        <w:rPr>
          <w:rFonts w:hint="eastAsia" w:ascii="仿宋" w:hAnsi="仿宋" w:eastAsia="仿宋" w:cs="仿宋"/>
          <w:b w:val="0"/>
          <w:bCs w:val="0"/>
          <w:color w:val="auto"/>
          <w:kern w:val="2"/>
          <w:sz w:val="24"/>
          <w:szCs w:val="24"/>
          <w:highlight w:val="none"/>
          <w:lang w:eastAsia="zh-CN" w:bidi="ar-SA"/>
        </w:rPr>
      </w:pPr>
      <w:r>
        <w:rPr>
          <w:rFonts w:hint="eastAsia" w:ascii="仿宋" w:hAnsi="仿宋" w:eastAsia="仿宋" w:cs="仿宋"/>
          <w:b w:val="0"/>
          <w:bCs w:val="0"/>
          <w:color w:val="auto"/>
          <w:kern w:val="2"/>
          <w:sz w:val="24"/>
          <w:szCs w:val="24"/>
          <w:highlight w:val="none"/>
          <w:lang w:eastAsia="zh-CN" w:bidi="ar-SA"/>
        </w:rPr>
        <w:t>4.1.3 未按本章第 4.1.1 项要求密封的响应文件，采购人将予以拒收。</w:t>
      </w:r>
    </w:p>
    <w:p w14:paraId="5246E9C3">
      <w:pPr>
        <w:pStyle w:val="4"/>
        <w:adjustRightInd w:val="0"/>
        <w:ind w:firstLine="438"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4.2 响应文件的</w:t>
      </w:r>
      <w:bookmarkEnd w:id="383"/>
      <w:bookmarkEnd w:id="384"/>
      <w:bookmarkEnd w:id="385"/>
      <w:bookmarkEnd w:id="386"/>
      <w:bookmarkEnd w:id="387"/>
      <w:bookmarkEnd w:id="388"/>
      <w:r>
        <w:rPr>
          <w:rFonts w:hint="eastAsia" w:ascii="仿宋" w:hAnsi="仿宋" w:eastAsia="仿宋" w:cs="仿宋"/>
          <w:color w:val="auto"/>
          <w:sz w:val="24"/>
          <w:szCs w:val="24"/>
          <w:highlight w:val="none"/>
          <w:lang w:eastAsia="zh-CN"/>
        </w:rPr>
        <w:t>提交</w:t>
      </w:r>
    </w:p>
    <w:p w14:paraId="43A753F1">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bookmarkStart w:id="389" w:name="_Toc466024527"/>
      <w:bookmarkStart w:id="390" w:name="_Toc455587061"/>
      <w:bookmarkStart w:id="391" w:name="_Toc342297648"/>
      <w:bookmarkStart w:id="392" w:name="_Toc342296191"/>
      <w:bookmarkStart w:id="393" w:name="_Toc455587245"/>
      <w:bookmarkStart w:id="394" w:name="_Toc338944634"/>
      <w:bookmarkStart w:id="395" w:name="_Toc333599688"/>
      <w:bookmarkStart w:id="396" w:name="_Toc333587882"/>
      <w:bookmarkStart w:id="397" w:name="_Toc152042334"/>
      <w:bookmarkStart w:id="398" w:name="_Toc342294743"/>
      <w:bookmarkStart w:id="399" w:name="_Toc371415946"/>
      <w:bookmarkStart w:id="400" w:name="_Toc144974526"/>
      <w:bookmarkStart w:id="401" w:name="_Toc458504845"/>
      <w:bookmarkStart w:id="402" w:name="_Toc338943729"/>
      <w:bookmarkStart w:id="403" w:name="_Toc333600712"/>
      <w:bookmarkStart w:id="404" w:name="_Toc179632576"/>
      <w:bookmarkStart w:id="405" w:name="_Toc152045558"/>
      <w:bookmarkStart w:id="406" w:name="_Toc445554718"/>
      <w:r>
        <w:rPr>
          <w:rFonts w:hint="eastAsia" w:ascii="仿宋" w:hAnsi="仿宋" w:eastAsia="仿宋" w:cs="仿宋"/>
          <w:color w:val="auto"/>
          <w:sz w:val="24"/>
          <w:szCs w:val="24"/>
          <w:highlight w:val="none"/>
        </w:rPr>
        <w:t>4.2.1 供应商应在供应商须知前附表规定的提交响应文件截止时间前提交响应文件。</w:t>
      </w:r>
    </w:p>
    <w:p w14:paraId="681A5519">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4.2.2供应商应当通过电子交易平台提交响应文件。供应商应充分考虑上传文件时的不可预见因素，未在提交首次响应文件截止时间前完成上传的，视为逾期送达，采购人（“电子交易平台”）将拒绝接收。详见供应商须知前附表规定。</w:t>
      </w:r>
    </w:p>
    <w:p w14:paraId="7704255B">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4.2.3 除供应商须知前附表另有规定外，供应商所提交的响应文件不予退还。</w:t>
      </w:r>
    </w:p>
    <w:p w14:paraId="060C341B">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4.2.4逾期送达的响应文件，采购人将予以拒收。</w:t>
      </w:r>
    </w:p>
    <w:p w14:paraId="2D53E211">
      <w:pPr>
        <w:pStyle w:val="4"/>
        <w:adjustRightInd w:val="0"/>
        <w:ind w:firstLine="438"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4.3 响应文件的修改与撤回</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14:paraId="6AEF1B7F">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4.3.1 在规定的提交响应文件截止时间前，供应商可以补充、修改或撤回已提交的响应文件，但应以书面形式通知采购人。</w:t>
      </w:r>
    </w:p>
    <w:p w14:paraId="63B0AAFE">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4.3.2 供应商修改或撤回已提交响应文件的书面通知应按照本章相关要求的要求签字或盖章。</w:t>
      </w:r>
    </w:p>
    <w:p w14:paraId="2E3CDB59">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4.3.3 供应商撤回响应文件的，采购人自收到供应商书面撤回通知之日起5日内退还已收取的磋商保证金。</w:t>
      </w:r>
    </w:p>
    <w:p w14:paraId="1957D1FA">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4.3.4 涉及电子投标相关要求</w:t>
      </w:r>
    </w:p>
    <w:p w14:paraId="2E2D0AF5">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（1）供应商在递交响应文件后，可以修改或撤回其投标，但这种修改和撤回，必须在规定的投标截止时间前。在投标截止时间后，供应商不得再要求修改或撤回其响应文件。</w:t>
      </w:r>
    </w:p>
    <w:p w14:paraId="7C2AE0E3">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（2）供应商修改或撤回已递交的加密的电子响应文件的通知书，应按照响应文件的要求加盖电子印章。电子招标投标交易平台收到通知书后，即时向供应商发出确认回执通知书。</w:t>
      </w:r>
    </w:p>
    <w:p w14:paraId="7FC6A6C6">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（3）供应商关于非加密的电子响应文件和纸质响应文件的修改或撤回通知书，应按规定进行编制、密封、标记和递交，且标明“修改”或“撤回”字样。</w:t>
      </w:r>
    </w:p>
    <w:p w14:paraId="34F5F0A8">
      <w:pPr>
        <w:pStyle w:val="3"/>
        <w:spacing w:line="360" w:lineRule="auto"/>
        <w:rPr>
          <w:rStyle w:val="35"/>
          <w:rFonts w:hint="eastAsia" w:ascii="仿宋" w:hAnsi="仿宋" w:eastAsia="仿宋" w:cs="仿宋"/>
          <w:b/>
          <w:bCs/>
          <w:color w:val="auto"/>
          <w:sz w:val="24"/>
          <w:szCs w:val="24"/>
          <w:highlight w:val="none"/>
        </w:rPr>
      </w:pPr>
      <w:r>
        <w:rPr>
          <w:rStyle w:val="35"/>
          <w:rFonts w:hint="eastAsia" w:ascii="仿宋" w:hAnsi="仿宋" w:eastAsia="仿宋" w:cs="仿宋"/>
          <w:b/>
          <w:bCs/>
          <w:color w:val="auto"/>
          <w:sz w:val="24"/>
          <w:szCs w:val="24"/>
          <w:highlight w:val="none"/>
        </w:rPr>
        <w:t xml:space="preserve">5. </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Style w:val="35"/>
          <w:rFonts w:hint="eastAsia" w:ascii="仿宋" w:hAnsi="仿宋" w:eastAsia="仿宋" w:cs="仿宋"/>
          <w:b/>
          <w:bCs/>
          <w:color w:val="auto"/>
          <w:sz w:val="24"/>
          <w:szCs w:val="24"/>
          <w:highlight w:val="none"/>
        </w:rPr>
        <w:t>响应文件的开启</w:t>
      </w:r>
    </w:p>
    <w:p w14:paraId="3B686691">
      <w:pPr>
        <w:pStyle w:val="4"/>
        <w:adjustRightInd w:val="0"/>
        <w:ind w:firstLine="438" w:firstLineChars="200"/>
        <w:rPr>
          <w:rFonts w:hint="eastAsia" w:ascii="仿宋" w:hAnsi="仿宋" w:eastAsia="仿宋" w:cs="仿宋"/>
          <w:color w:val="auto"/>
          <w:sz w:val="24"/>
          <w:szCs w:val="24"/>
          <w:highlight w:val="none"/>
          <w:lang w:eastAsia="zh-CN"/>
        </w:rPr>
      </w:pPr>
      <w:bookmarkStart w:id="407" w:name="_Toc455587250"/>
      <w:bookmarkStart w:id="408" w:name="_Toc152042338"/>
      <w:bookmarkStart w:id="409" w:name="_Toc455587066"/>
      <w:bookmarkStart w:id="410" w:name="_Toc333600716"/>
      <w:bookmarkStart w:id="411" w:name="_Toc338943733"/>
      <w:bookmarkStart w:id="412" w:name="_Toc371415950"/>
      <w:bookmarkStart w:id="413" w:name="_Toc342294747"/>
      <w:bookmarkStart w:id="414" w:name="_Toc333599692"/>
      <w:bookmarkStart w:id="415" w:name="_Toc338944638"/>
      <w:bookmarkStart w:id="416" w:name="_Toc342297652"/>
      <w:bookmarkStart w:id="417" w:name="_Toc342296195"/>
      <w:bookmarkStart w:id="418" w:name="_Toc466024531"/>
      <w:bookmarkStart w:id="419" w:name="_Toc445554723"/>
      <w:bookmarkStart w:id="420" w:name="_Toc152045562"/>
      <w:bookmarkStart w:id="421" w:name="_Toc179632580"/>
      <w:bookmarkStart w:id="422" w:name="_Toc458504849"/>
      <w:bookmarkStart w:id="423" w:name="_Toc144974530"/>
      <w:r>
        <w:rPr>
          <w:rFonts w:hint="eastAsia" w:ascii="仿宋" w:hAnsi="仿宋" w:eastAsia="仿宋" w:cs="仿宋"/>
          <w:color w:val="auto"/>
          <w:sz w:val="24"/>
          <w:szCs w:val="24"/>
          <w:highlight w:val="none"/>
          <w:lang w:eastAsia="zh-CN"/>
        </w:rPr>
        <w:t>5.1开启时间和地点</w:t>
      </w:r>
    </w:p>
    <w:p w14:paraId="601DEA51">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见供应商须知前附表。</w:t>
      </w:r>
    </w:p>
    <w:p w14:paraId="754A140F">
      <w:pPr>
        <w:pStyle w:val="4"/>
        <w:adjustRightInd w:val="0"/>
        <w:ind w:firstLine="438"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5.2 开启程序</w:t>
      </w:r>
    </w:p>
    <w:p w14:paraId="2BF1C23E">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主持人按下列程序进行开标：</w:t>
      </w:r>
    </w:p>
    <w:p w14:paraId="42EFA7D5">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（1）宣布开标纪律；</w:t>
      </w:r>
    </w:p>
    <w:p w14:paraId="18ED1BF5">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（2）公布在投标截止时间前递交加密的电子响应文件的供应商名称；</w:t>
      </w:r>
    </w:p>
    <w:p w14:paraId="1A86A05E">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（3）供应商应在规定时间内对已递交的加密的电子投标文件使用数字证书解密，然后由工作人员对投标文件再次解密。系统会自动记录开标过程，并在解密完成后公布磋商项目名称、供应商名称等其他内容；</w:t>
      </w:r>
    </w:p>
    <w:p w14:paraId="1BDB0F0A">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（4）供应商代表等有关人员在系统中确认；</w:t>
      </w:r>
    </w:p>
    <w:p w14:paraId="5193A264">
      <w:pPr>
        <w:pStyle w:val="4"/>
        <w:adjustRightInd w:val="0"/>
        <w:ind w:firstLine="438"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5.3 开启会议的疑义</w:t>
      </w:r>
    </w:p>
    <w:p w14:paraId="70283D96">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供应商代表对开启过程有疑义，以及认为采购人、采购代理机构相关工作人员有需要回避的情形的，应当场提出询问或者回避申请。采购人、采购代理机构对供应商代表提出的询问或者回避申请应当及时处理。</w:t>
      </w:r>
    </w:p>
    <w:p w14:paraId="5E28D70D">
      <w:pPr>
        <w:pStyle w:val="3"/>
        <w:spacing w:line="360" w:lineRule="auto"/>
        <w:rPr>
          <w:rStyle w:val="35"/>
          <w:rFonts w:hint="eastAsia" w:ascii="仿宋" w:hAnsi="仿宋" w:eastAsia="仿宋" w:cs="仿宋"/>
          <w:b/>
          <w:bCs/>
          <w:color w:val="auto"/>
          <w:sz w:val="24"/>
          <w:szCs w:val="24"/>
          <w:highlight w:val="none"/>
        </w:rPr>
      </w:pPr>
      <w:r>
        <w:rPr>
          <w:rStyle w:val="35"/>
          <w:rFonts w:hint="eastAsia" w:ascii="仿宋" w:hAnsi="仿宋" w:eastAsia="仿宋" w:cs="仿宋"/>
          <w:b/>
          <w:bCs/>
          <w:color w:val="auto"/>
          <w:sz w:val="24"/>
          <w:szCs w:val="24"/>
          <w:highlight w:val="none"/>
        </w:rPr>
        <w:t xml:space="preserve">6. </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35"/>
          <w:rFonts w:hint="eastAsia" w:ascii="仿宋" w:hAnsi="仿宋" w:eastAsia="仿宋" w:cs="仿宋"/>
          <w:b/>
          <w:bCs/>
          <w:color w:val="auto"/>
          <w:sz w:val="24"/>
          <w:szCs w:val="24"/>
          <w:highlight w:val="none"/>
        </w:rPr>
        <w:t>磋商与评审</w:t>
      </w:r>
    </w:p>
    <w:p w14:paraId="01B48965">
      <w:pPr>
        <w:pStyle w:val="4"/>
        <w:adjustRightInd w:val="0"/>
        <w:ind w:firstLine="438"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6.1磋商小组</w:t>
      </w:r>
    </w:p>
    <w:p w14:paraId="2AA4F269">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6.1.1磋商与评审由采购人依法组建的磋商小组负责。磋商小组人数为3人以上单数，由采购人代表以及有关技术、经济等方面的专家组成。</w:t>
      </w:r>
    </w:p>
    <w:p w14:paraId="7E6CBFD6">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6.1.2磋商小组成员有下列情形之一的，应当回避：</w:t>
      </w:r>
    </w:p>
    <w:p w14:paraId="44369741">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（1）参加采购活动前3年内担任供应商的董事、监事；</w:t>
      </w:r>
    </w:p>
    <w:p w14:paraId="64E9AFF8">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（2）参加采购活动前3年内是供应商的控股股东或者实际控制人；</w:t>
      </w:r>
    </w:p>
    <w:p w14:paraId="361DC816">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（3）与供应商的法定代表人或者负责人有夫妻、直系血亲、三代以内旁系血亲或者近姻亲关系；</w:t>
      </w:r>
    </w:p>
    <w:p w14:paraId="36DAAE9D">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（4）与供应商有其他可能影响采购活动公平、公正进行的关系。</w:t>
      </w:r>
    </w:p>
    <w:p w14:paraId="046A0F2F">
      <w:pPr>
        <w:pStyle w:val="4"/>
        <w:adjustRightInd w:val="0"/>
        <w:ind w:firstLine="438"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6.2磋商</w:t>
      </w:r>
    </w:p>
    <w:p w14:paraId="168A1DA0">
      <w:pPr>
        <w:widowControl/>
        <w:adjustRightInd w:val="0"/>
        <w:snapToGrid w:val="0"/>
        <w:spacing w:line="360" w:lineRule="auto"/>
        <w:ind w:firstLine="438"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6.2.1本项目磋商小组可以根据磋商文件和谈判情况，实质性变动采购需求中的技术、服务要求，但不得变动磋商文件中的其他内容。具体详见供应商须知前附表。</w:t>
      </w:r>
    </w:p>
    <w:p w14:paraId="3B1517F9">
      <w:pPr>
        <w:pStyle w:val="4"/>
        <w:adjustRightInd w:val="0"/>
        <w:ind w:firstLine="438"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6.3最后报价</w:t>
      </w:r>
    </w:p>
    <w:p w14:paraId="71227CE2">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6.3.1磋商小组按照供应商须知前附表规定的方式确定提交最后报价的供应商。</w:t>
      </w:r>
    </w:p>
    <w:p w14:paraId="4CCB7C2E">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6.3.2已提交响应文件的供应商，在提交最后报价之前，可以根据磋商情况退出磋商，采购人将退还其的磋商保证金。</w:t>
      </w:r>
    </w:p>
    <w:p w14:paraId="210ED31F">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6.3.3除供应商前附表另有规定外，磋商响应文件中报价即为最终报价。</w:t>
      </w:r>
    </w:p>
    <w:p w14:paraId="3F6BBC3B">
      <w:pPr>
        <w:pStyle w:val="4"/>
        <w:adjustRightInd w:val="0"/>
        <w:ind w:firstLine="438" w:firstLineChars="200"/>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kern w:val="2"/>
          <w:sz w:val="24"/>
          <w:szCs w:val="24"/>
          <w:highlight w:val="none"/>
          <w:lang w:eastAsia="zh-CN" w:bidi="ar-SA"/>
        </w:rPr>
        <w:t>6.3.4采购人按照供应商须知前附表规定的方式公布供应商最后报价。</w:t>
      </w:r>
    </w:p>
    <w:p w14:paraId="54158AC4">
      <w:pPr>
        <w:pStyle w:val="4"/>
        <w:adjustRightInd w:val="0"/>
        <w:ind w:firstLine="438"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6.4评审原则</w:t>
      </w:r>
    </w:p>
    <w:p w14:paraId="6B945284">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磋商小组应该按照客观、公正、审慎的原则，根据磋商文件规定的评审程序、评审方法和评审标准进行独立评审。</w:t>
      </w:r>
    </w:p>
    <w:p w14:paraId="3B88BF37">
      <w:pPr>
        <w:pStyle w:val="4"/>
        <w:adjustRightInd w:val="0"/>
        <w:ind w:firstLine="438"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6.5评审办法</w:t>
      </w:r>
    </w:p>
    <w:p w14:paraId="0F211427">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6.5.1磋商小组按照磋商文件规定的方法、评审因素、标准和程序对响应文件进行评审。磋商文件没有规定的方法、评审因素和标准，不作为评审依据。</w:t>
      </w:r>
    </w:p>
    <w:p w14:paraId="1CB9F350">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6.5.2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A7F85E9">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6.5.3评审完成后，磋商小组应当向采购人提交书面评审报告和成交候选供应商名单。磋商小组推荐成交候选供应商的家数见供应商须知前附表。</w:t>
      </w:r>
    </w:p>
    <w:p w14:paraId="1774B5C7">
      <w:pPr>
        <w:pStyle w:val="3"/>
        <w:spacing w:line="360" w:lineRule="auto"/>
        <w:rPr>
          <w:rStyle w:val="35"/>
          <w:rFonts w:hint="eastAsia" w:ascii="仿宋" w:hAnsi="仿宋" w:eastAsia="仿宋" w:cs="仿宋"/>
          <w:b/>
          <w:bCs/>
          <w:color w:val="auto"/>
          <w:sz w:val="24"/>
          <w:szCs w:val="24"/>
          <w:highlight w:val="none"/>
        </w:rPr>
      </w:pPr>
      <w:bookmarkStart w:id="424" w:name="_Toc445554727"/>
      <w:bookmarkStart w:id="425" w:name="_Toc455587254"/>
      <w:bookmarkStart w:id="426" w:name="_Toc466024535"/>
      <w:bookmarkStart w:id="427" w:name="_Toc333600720"/>
      <w:bookmarkStart w:id="428" w:name="_Toc342297656"/>
      <w:bookmarkStart w:id="429" w:name="_Toc342294751"/>
      <w:bookmarkStart w:id="430" w:name="_Toc342296199"/>
      <w:bookmarkStart w:id="431" w:name="_Toc458504853"/>
      <w:bookmarkStart w:id="432" w:name="_Toc152045566"/>
      <w:bookmarkStart w:id="433" w:name="_Toc371415954"/>
      <w:bookmarkStart w:id="434" w:name="_Toc455587070"/>
      <w:bookmarkStart w:id="435" w:name="_Toc152042342"/>
      <w:bookmarkStart w:id="436" w:name="_Toc179632584"/>
      <w:bookmarkStart w:id="437" w:name="_Toc333599696"/>
      <w:bookmarkStart w:id="438" w:name="_Toc338944642"/>
      <w:bookmarkStart w:id="439" w:name="_Toc144974534"/>
      <w:bookmarkStart w:id="440" w:name="_Toc338943737"/>
      <w:r>
        <w:rPr>
          <w:rStyle w:val="35"/>
          <w:rFonts w:hint="eastAsia" w:ascii="仿宋" w:hAnsi="仿宋" w:eastAsia="仿宋" w:cs="仿宋"/>
          <w:b/>
          <w:bCs/>
          <w:color w:val="auto"/>
          <w:sz w:val="24"/>
          <w:szCs w:val="24"/>
          <w:highlight w:val="none"/>
        </w:rPr>
        <w:t>7. 合同授予</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14:paraId="28756A8E">
      <w:pPr>
        <w:pStyle w:val="4"/>
        <w:adjustRightInd w:val="0"/>
        <w:ind w:firstLine="438" w:firstLineChars="200"/>
        <w:rPr>
          <w:rFonts w:hint="eastAsia" w:ascii="仿宋" w:hAnsi="仿宋" w:eastAsia="仿宋" w:cs="仿宋"/>
          <w:color w:val="auto"/>
          <w:sz w:val="24"/>
          <w:szCs w:val="24"/>
          <w:highlight w:val="none"/>
          <w:lang w:eastAsia="zh-CN"/>
        </w:rPr>
      </w:pPr>
      <w:bookmarkStart w:id="441" w:name="_Toc349730879"/>
      <w:bookmarkStart w:id="442" w:name="_Toc455587255"/>
      <w:bookmarkStart w:id="443" w:name="_Toc371415955"/>
      <w:bookmarkStart w:id="444" w:name="_Toc458504854"/>
      <w:bookmarkStart w:id="445" w:name="_Toc455587071"/>
      <w:bookmarkStart w:id="446" w:name="_Toc466024536"/>
      <w:bookmarkStart w:id="447" w:name="_Toc445554728"/>
      <w:bookmarkStart w:id="448" w:name="_Toc362252685"/>
      <w:bookmarkStart w:id="449" w:name="_Toc333587891"/>
      <w:bookmarkStart w:id="450" w:name="_Toc179632585"/>
      <w:bookmarkStart w:id="451" w:name="_Toc342294752"/>
      <w:bookmarkStart w:id="452" w:name="_Toc152045567"/>
      <w:bookmarkStart w:id="453" w:name="_Toc338943738"/>
      <w:bookmarkStart w:id="454" w:name="_Toc342297657"/>
      <w:bookmarkStart w:id="455" w:name="_Toc333600721"/>
      <w:bookmarkStart w:id="456" w:name="_Toc342296200"/>
      <w:bookmarkStart w:id="457" w:name="_Toc152042343"/>
      <w:bookmarkStart w:id="458" w:name="_Toc144974535"/>
      <w:bookmarkStart w:id="459" w:name="_Toc338944643"/>
      <w:bookmarkStart w:id="460" w:name="_Toc333599697"/>
      <w:r>
        <w:rPr>
          <w:rFonts w:hint="eastAsia" w:ascii="仿宋" w:hAnsi="仿宋" w:eastAsia="仿宋" w:cs="仿宋"/>
          <w:color w:val="auto"/>
          <w:sz w:val="24"/>
          <w:szCs w:val="24"/>
          <w:highlight w:val="none"/>
          <w:lang w:eastAsia="zh-CN"/>
        </w:rPr>
        <w:t>7.1</w:t>
      </w:r>
      <w:bookmarkEnd w:id="441"/>
      <w:bookmarkEnd w:id="442"/>
      <w:bookmarkEnd w:id="443"/>
      <w:bookmarkEnd w:id="444"/>
      <w:bookmarkEnd w:id="445"/>
      <w:bookmarkEnd w:id="446"/>
      <w:bookmarkEnd w:id="447"/>
      <w:bookmarkEnd w:id="448"/>
      <w:r>
        <w:rPr>
          <w:rFonts w:hint="eastAsia" w:ascii="仿宋" w:hAnsi="仿宋" w:eastAsia="仿宋" w:cs="仿宋"/>
          <w:color w:val="auto"/>
          <w:sz w:val="24"/>
          <w:szCs w:val="24"/>
          <w:highlight w:val="none"/>
          <w:lang w:eastAsia="zh-CN"/>
        </w:rPr>
        <w:t xml:space="preserve"> 确定成交供应商</w:t>
      </w:r>
    </w:p>
    <w:p w14:paraId="07F264D3">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7.1.1 按照供应商须知前附表规定，采购人或采购人委托的评审委员</w:t>
      </w:r>
      <w:r>
        <w:rPr>
          <w:rFonts w:hint="eastAsia" w:ascii="仿宋" w:hAnsi="仿宋" w:eastAsia="仿宋" w:cs="仿宋"/>
          <w:color w:val="auto"/>
          <w:kern w:val="0"/>
          <w:sz w:val="24"/>
          <w:szCs w:val="24"/>
          <w:highlight w:val="none"/>
        </w:rPr>
        <w:t>在评审报告确定的成交候选人名单中按顺序确定成交供应商。成交候选人并列的，由采购人或者采购人委托磋商小组按照磋商文件规定的方式确定成交供应商；磋商文件未规定的，采取随机抽取的方式确定。</w:t>
      </w:r>
    </w:p>
    <w:p w14:paraId="6597920B">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7.1.2 采购人确定成交供应商后，按供应商须知前附表规定的公告成交结果，公告内容和期限符合供应商须知前附表规定。</w:t>
      </w:r>
    </w:p>
    <w:p w14:paraId="66D24EF6">
      <w:pPr>
        <w:pStyle w:val="4"/>
        <w:adjustRightInd w:val="0"/>
        <w:ind w:firstLine="438"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7.2 成交结果质疑</w:t>
      </w:r>
    </w:p>
    <w:p w14:paraId="1AE92E3E">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7.2.1供应商认为成交结果使自己的权益受到损害的，应当在按有关规定向采购人或采购代理机构提出书面质疑。</w:t>
      </w:r>
    </w:p>
    <w:p w14:paraId="12F8E0CE">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7.2.2供应商应当在质疑期内一次性提出针对同一采购程序环节的质疑。质疑应当有具体的事项及根据，不得进行虚假、恶意质疑，扰乱采购活动正常的工作秩序。</w:t>
      </w:r>
    </w:p>
    <w:p w14:paraId="14FE7A84">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7.2.3质疑材料的要求</w:t>
      </w:r>
    </w:p>
    <w:p w14:paraId="04E76CB1">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7.2.3.1书面质疑材料应当包括以下内容：</w:t>
      </w:r>
    </w:p>
    <w:p w14:paraId="3D97C718">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（1）提起质疑的供应商名称、地址、邮编、联系人及联系电话；</w:t>
      </w:r>
    </w:p>
    <w:p w14:paraId="5724F0B1">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（2）项目名称、项目编号及分包号（如有）；</w:t>
      </w:r>
    </w:p>
    <w:p w14:paraId="06C82A13">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（3）具体、明确的质疑事项和与质疑事项相关的请求；</w:t>
      </w:r>
    </w:p>
    <w:p w14:paraId="24A27361">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（4）有效线索和相关证明材料等事实依据；</w:t>
      </w:r>
    </w:p>
    <w:p w14:paraId="678AC073">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（5）必要的法律依据；</w:t>
      </w:r>
    </w:p>
    <w:p w14:paraId="1A2C704D">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（6）提出质疑的日期。</w:t>
      </w:r>
    </w:p>
    <w:p w14:paraId="42DA3486">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为自然人的，应当由本人签字；供应商为法人或者其他组织的，应当加盖供应商单位公章，并由法定代表人（单位负责人）或者其授权代表签字或者盖章，并附法定代表人（单位负责人）及其委托联系人的有效身份证复印件。</w:t>
      </w:r>
    </w:p>
    <w:p w14:paraId="1FCC8306">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7.2.3.2 质疑材料存在以下情形的，采购代理机构不予受理。</w:t>
      </w:r>
    </w:p>
    <w:p w14:paraId="183FAA27">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（1）提起质疑的主体不是参与该采购项目活动的供应商；</w:t>
      </w:r>
    </w:p>
    <w:p w14:paraId="551E7100">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（2）提起质疑的时间超过规定时限的；</w:t>
      </w:r>
    </w:p>
    <w:p w14:paraId="315BFEF1">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（3）质疑材料不完整的；</w:t>
      </w:r>
    </w:p>
    <w:p w14:paraId="4621456E">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（4）质疑事项含有主观猜测等内容且未提供充分有效线索、难以查证的；</w:t>
      </w:r>
    </w:p>
    <w:p w14:paraId="578F8CF1">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（5）质疑事项缺乏事实依据，质疑事项不成立的；</w:t>
      </w:r>
    </w:p>
    <w:p w14:paraId="0CE9546B">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（6）捏造事实或者提供虚假材料；</w:t>
      </w:r>
    </w:p>
    <w:p w14:paraId="76B2E3C1">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（7）以非法手段取得证明材料。证明材料来源的合法性存在明显疑问，供应商无法证明其取得方式合法的，视为以非法手段取得证明材料；</w:t>
      </w:r>
    </w:p>
    <w:p w14:paraId="53A97060">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（8）对其他供应商的响应文件详细内容异议，无法提供合法来源渠道的。</w:t>
      </w:r>
    </w:p>
    <w:p w14:paraId="14F9F8D5">
      <w:pPr>
        <w:pStyle w:val="4"/>
        <w:adjustRightInd w:val="0"/>
        <w:ind w:firstLine="438" w:firstLineChars="200"/>
        <w:rPr>
          <w:rFonts w:hint="eastAsia" w:ascii="仿宋" w:hAnsi="仿宋" w:eastAsia="仿宋" w:cs="仿宋"/>
          <w:color w:val="auto"/>
          <w:sz w:val="24"/>
          <w:szCs w:val="24"/>
          <w:highlight w:val="none"/>
          <w:lang w:eastAsia="zh-CN"/>
        </w:rPr>
      </w:pPr>
      <w:bookmarkStart w:id="461" w:name="_Toc362252686"/>
      <w:bookmarkStart w:id="462" w:name="_Toc455587072"/>
      <w:bookmarkStart w:id="463" w:name="_Toc371415957"/>
      <w:bookmarkStart w:id="464" w:name="_Toc455587256"/>
      <w:bookmarkStart w:id="465" w:name="_Toc445554730"/>
      <w:bookmarkStart w:id="466" w:name="_Toc349730880"/>
      <w:bookmarkStart w:id="467" w:name="_Toc466024537"/>
      <w:bookmarkStart w:id="468" w:name="_Toc458504855"/>
      <w:r>
        <w:rPr>
          <w:rFonts w:hint="eastAsia" w:ascii="仿宋" w:hAnsi="仿宋" w:eastAsia="仿宋" w:cs="仿宋"/>
          <w:color w:val="auto"/>
          <w:sz w:val="24"/>
          <w:szCs w:val="24"/>
          <w:highlight w:val="none"/>
          <w:lang w:eastAsia="zh-CN"/>
        </w:rPr>
        <w:t>7.3 成交通知</w:t>
      </w:r>
      <w:bookmarkEnd w:id="461"/>
      <w:bookmarkEnd w:id="462"/>
      <w:bookmarkEnd w:id="463"/>
      <w:bookmarkEnd w:id="464"/>
      <w:bookmarkEnd w:id="465"/>
      <w:bookmarkEnd w:id="466"/>
      <w:bookmarkEnd w:id="467"/>
      <w:bookmarkEnd w:id="468"/>
    </w:p>
    <w:p w14:paraId="2ABF6846">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7.3.1 成交结果确定后，采购人以书面形式向成交供应商发出成交通知书。</w:t>
      </w:r>
    </w:p>
    <w:p w14:paraId="294DE1CB">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7.3.2 成交供应商须按供应商须知前附表规定向采购代理机构支付采购代理服务费，其计取标准见供应商须知前附表。</w:t>
      </w:r>
    </w:p>
    <w:p w14:paraId="40A044C0">
      <w:pPr>
        <w:pStyle w:val="4"/>
        <w:adjustRightInd w:val="0"/>
        <w:ind w:firstLine="438" w:firstLineChars="200"/>
        <w:rPr>
          <w:rFonts w:hint="eastAsia" w:ascii="仿宋" w:hAnsi="仿宋" w:eastAsia="仿宋" w:cs="仿宋"/>
          <w:color w:val="auto"/>
          <w:sz w:val="24"/>
          <w:szCs w:val="24"/>
          <w:highlight w:val="none"/>
          <w:lang w:eastAsia="zh-CN"/>
        </w:rPr>
      </w:pPr>
      <w:bookmarkStart w:id="469" w:name="_Toc458504856"/>
      <w:bookmarkStart w:id="470" w:name="_Toc445554731"/>
      <w:bookmarkStart w:id="471" w:name="_Toc349730881"/>
      <w:bookmarkStart w:id="472" w:name="_Toc466024538"/>
      <w:bookmarkStart w:id="473" w:name="_Toc455587073"/>
      <w:bookmarkStart w:id="474" w:name="_Toc371415958"/>
      <w:bookmarkStart w:id="475" w:name="_Toc362252687"/>
      <w:bookmarkStart w:id="476" w:name="_Toc455587257"/>
      <w:r>
        <w:rPr>
          <w:rFonts w:hint="eastAsia" w:ascii="仿宋" w:hAnsi="仿宋" w:eastAsia="仿宋" w:cs="仿宋"/>
          <w:color w:val="auto"/>
          <w:sz w:val="24"/>
          <w:szCs w:val="24"/>
          <w:highlight w:val="none"/>
          <w:lang w:eastAsia="zh-CN"/>
        </w:rPr>
        <w:t>7.4 履约</w:t>
      </w:r>
      <w:bookmarkEnd w:id="469"/>
      <w:bookmarkEnd w:id="470"/>
      <w:bookmarkEnd w:id="471"/>
      <w:bookmarkEnd w:id="472"/>
      <w:bookmarkEnd w:id="473"/>
      <w:bookmarkEnd w:id="474"/>
      <w:bookmarkEnd w:id="475"/>
      <w:bookmarkEnd w:id="476"/>
      <w:r>
        <w:rPr>
          <w:rFonts w:hint="eastAsia" w:ascii="仿宋" w:hAnsi="仿宋" w:eastAsia="仿宋" w:cs="仿宋"/>
          <w:color w:val="auto"/>
          <w:sz w:val="24"/>
          <w:szCs w:val="24"/>
          <w:highlight w:val="none"/>
          <w:lang w:eastAsia="zh-CN"/>
        </w:rPr>
        <w:t>保证金</w:t>
      </w:r>
    </w:p>
    <w:p w14:paraId="6A70E5F5">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bookmarkStart w:id="477" w:name="_Toc338944646"/>
      <w:bookmarkStart w:id="478" w:name="_Toc342294755"/>
      <w:bookmarkStart w:id="479" w:name="_Toc333587894"/>
      <w:bookmarkStart w:id="480" w:name="_Toc333599700"/>
      <w:bookmarkStart w:id="481" w:name="_Toc179632588"/>
      <w:bookmarkStart w:id="482" w:name="_Toc333600724"/>
      <w:bookmarkStart w:id="483" w:name="_Toc338943741"/>
      <w:bookmarkStart w:id="484" w:name="_Toc455587074"/>
      <w:bookmarkStart w:id="485" w:name="_Toc455587258"/>
      <w:bookmarkStart w:id="486" w:name="_Toc466024539"/>
      <w:bookmarkStart w:id="487" w:name="_Toc362252688"/>
      <w:bookmarkStart w:id="488" w:name="_Toc371415959"/>
      <w:bookmarkStart w:id="489" w:name="_Toc445554732"/>
      <w:bookmarkStart w:id="490" w:name="_Toc458504857"/>
      <w:bookmarkStart w:id="491" w:name="_Toc342296203"/>
      <w:bookmarkStart w:id="492" w:name="_Toc349730882"/>
      <w:r>
        <w:rPr>
          <w:rFonts w:hint="eastAsia" w:ascii="仿宋" w:hAnsi="仿宋" w:eastAsia="仿宋" w:cs="仿宋"/>
          <w:color w:val="auto"/>
          <w:sz w:val="24"/>
          <w:szCs w:val="24"/>
          <w:highlight w:val="none"/>
        </w:rPr>
        <w:t>7.4.1 在签订合同前，成交供应商应按供应商须知前附表规定的金额、形式向采购人提交履约保证金。</w:t>
      </w:r>
    </w:p>
    <w:p w14:paraId="3FC4BBBC">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7.4.2 除供应商须知前附表另有规定外，成交供应商不能按要求提交履约保证金的，视为放弃成交资格，其磋商保证金不予退还；给采购人造成的损失超过磋商保证金数额的，成交供应商还应当对超过部分予以赔偿。</w:t>
      </w:r>
    </w:p>
    <w:p w14:paraId="28C2E5D9">
      <w:pPr>
        <w:pStyle w:val="4"/>
        <w:adjustRightInd w:val="0"/>
        <w:ind w:firstLine="438"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7.5 签订合同</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14:paraId="37D0252B">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7.5.1 采购人和成交供应商应当在成交通知书发出之日起30日内，根据磋商文件和成交供应商的响应文件订立书面合同，所签订的合同不得对磋商文件确定的事项和成交供应商响应文件作实质性修改。成交供应商无正当理由拒签合同，在签订合同时向采购人提出附加条件，或者不按照磋商文件要求提交履约保证金的，采购人有权取消其成交资格，其磋商保证金不予退还；给采购人造成的损失超过磋商保证金数额的，成交供应商还应当对超过部分予以赔偿。</w:t>
      </w:r>
    </w:p>
    <w:p w14:paraId="198839AC">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7.5.2 因成交供应商原因未签订合同的，采购人可以按照评审报告推荐的成交候选人名单排序，确定下一候选人为成交供应商，也可以重新开展采购活动。</w:t>
      </w:r>
    </w:p>
    <w:p w14:paraId="1B892600">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7.5.3 发出成交通知书后，采购人无正当理由拒签合同的，按照相关规定予以处理。</w:t>
      </w:r>
    </w:p>
    <w:bookmarkEnd w:id="449"/>
    <w:bookmarkEnd w:id="450"/>
    <w:bookmarkEnd w:id="451"/>
    <w:bookmarkEnd w:id="452"/>
    <w:bookmarkEnd w:id="453"/>
    <w:bookmarkEnd w:id="454"/>
    <w:bookmarkEnd w:id="455"/>
    <w:bookmarkEnd w:id="456"/>
    <w:bookmarkEnd w:id="457"/>
    <w:bookmarkEnd w:id="458"/>
    <w:bookmarkEnd w:id="459"/>
    <w:bookmarkEnd w:id="460"/>
    <w:p w14:paraId="4A1390B1">
      <w:pPr>
        <w:pStyle w:val="3"/>
        <w:spacing w:line="360" w:lineRule="auto"/>
        <w:rPr>
          <w:rStyle w:val="35"/>
          <w:rFonts w:hint="eastAsia" w:ascii="仿宋" w:hAnsi="仿宋" w:eastAsia="仿宋" w:cs="仿宋"/>
          <w:b/>
          <w:bCs/>
          <w:color w:val="auto"/>
          <w:sz w:val="24"/>
          <w:szCs w:val="24"/>
          <w:highlight w:val="none"/>
        </w:rPr>
      </w:pPr>
      <w:bookmarkStart w:id="493" w:name="_Toc458504860"/>
      <w:bookmarkStart w:id="494" w:name="_Toc455587259"/>
      <w:bookmarkStart w:id="495" w:name="_Toc455587075"/>
      <w:bookmarkStart w:id="496" w:name="_Toc466024542"/>
      <w:r>
        <w:rPr>
          <w:rStyle w:val="35"/>
          <w:rFonts w:hint="eastAsia" w:ascii="仿宋" w:hAnsi="仿宋" w:eastAsia="仿宋" w:cs="仿宋"/>
          <w:b/>
          <w:bCs/>
          <w:color w:val="auto"/>
          <w:sz w:val="24"/>
          <w:szCs w:val="24"/>
          <w:highlight w:val="none"/>
        </w:rPr>
        <w:t xml:space="preserve">8. </w:t>
      </w:r>
      <w:bookmarkEnd w:id="493"/>
      <w:bookmarkEnd w:id="494"/>
      <w:bookmarkEnd w:id="495"/>
      <w:r>
        <w:rPr>
          <w:rStyle w:val="35"/>
          <w:rFonts w:hint="eastAsia" w:ascii="仿宋" w:hAnsi="仿宋" w:eastAsia="仿宋" w:cs="仿宋"/>
          <w:b/>
          <w:bCs/>
          <w:color w:val="auto"/>
          <w:sz w:val="24"/>
          <w:szCs w:val="24"/>
          <w:highlight w:val="none"/>
        </w:rPr>
        <w:t>重新采购、变更采购方式与终止</w:t>
      </w:r>
      <w:bookmarkEnd w:id="496"/>
      <w:r>
        <w:rPr>
          <w:rStyle w:val="35"/>
          <w:rFonts w:hint="eastAsia" w:ascii="仿宋" w:hAnsi="仿宋" w:eastAsia="仿宋" w:cs="仿宋"/>
          <w:b/>
          <w:bCs/>
          <w:color w:val="auto"/>
          <w:sz w:val="24"/>
          <w:szCs w:val="24"/>
          <w:highlight w:val="none"/>
        </w:rPr>
        <w:t>采购</w:t>
      </w:r>
    </w:p>
    <w:p w14:paraId="3EAB97A8">
      <w:pPr>
        <w:pStyle w:val="4"/>
        <w:adjustRightInd w:val="0"/>
        <w:ind w:firstLine="438" w:firstLineChars="200"/>
        <w:rPr>
          <w:rFonts w:hint="eastAsia" w:ascii="仿宋" w:hAnsi="仿宋" w:eastAsia="仿宋" w:cs="仿宋"/>
          <w:color w:val="auto"/>
          <w:sz w:val="24"/>
          <w:szCs w:val="24"/>
          <w:highlight w:val="none"/>
          <w:lang w:eastAsia="zh-CN"/>
        </w:rPr>
      </w:pPr>
      <w:bookmarkStart w:id="497" w:name="_Toc455587260"/>
      <w:bookmarkStart w:id="498" w:name="_Toc458504861"/>
      <w:bookmarkStart w:id="499" w:name="_Toc455587076"/>
      <w:bookmarkStart w:id="500" w:name="_Toc466024543"/>
      <w:bookmarkStart w:id="501" w:name="_Toc371415961"/>
      <w:bookmarkStart w:id="502" w:name="_Toc333599702"/>
      <w:bookmarkStart w:id="503" w:name="_Toc179632590"/>
      <w:bookmarkStart w:id="504" w:name="_Toc333587896"/>
      <w:bookmarkStart w:id="505" w:name="_Toc342296205"/>
      <w:bookmarkStart w:id="506" w:name="_Toc342294757"/>
      <w:bookmarkStart w:id="507" w:name="_Toc445554734"/>
      <w:bookmarkStart w:id="508" w:name="_Toc338943743"/>
      <w:bookmarkStart w:id="509" w:name="_Toc342297662"/>
      <w:bookmarkStart w:id="510" w:name="_Toc144974540"/>
      <w:bookmarkStart w:id="511" w:name="_Toc152042348"/>
      <w:bookmarkStart w:id="512" w:name="_Toc338944648"/>
      <w:bookmarkStart w:id="513" w:name="_Toc333600726"/>
      <w:bookmarkStart w:id="514" w:name="_Toc152045572"/>
      <w:r>
        <w:rPr>
          <w:rFonts w:hint="eastAsia" w:ascii="仿宋" w:hAnsi="仿宋" w:eastAsia="仿宋" w:cs="仿宋"/>
          <w:color w:val="auto"/>
          <w:sz w:val="24"/>
          <w:szCs w:val="24"/>
          <w:highlight w:val="none"/>
          <w:lang w:eastAsia="zh-CN"/>
        </w:rPr>
        <w:t xml:space="preserve">8.1 </w:t>
      </w:r>
      <w:bookmarkEnd w:id="497"/>
      <w:bookmarkEnd w:id="498"/>
      <w:bookmarkEnd w:id="499"/>
      <w:bookmarkEnd w:id="500"/>
      <w:r>
        <w:rPr>
          <w:rFonts w:hint="eastAsia" w:ascii="仿宋" w:hAnsi="仿宋" w:eastAsia="仿宋" w:cs="仿宋"/>
          <w:color w:val="auto"/>
          <w:sz w:val="24"/>
          <w:szCs w:val="24"/>
          <w:highlight w:val="none"/>
          <w:lang w:eastAsia="zh-CN"/>
        </w:rPr>
        <w:t>重新采购</w:t>
      </w:r>
    </w:p>
    <w:p w14:paraId="71FEF102">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8.1.1出现下列情形之一的，采购人或者采购代理机构应当终止采购活动，重新开展采购活动：</w:t>
      </w:r>
    </w:p>
    <w:p w14:paraId="1A974950">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（1）因情况变化，不再符合规定的谈判采购方式适用情形的；</w:t>
      </w:r>
    </w:p>
    <w:p w14:paraId="35BEAB24">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（2）出现影响采购公正的违法、违规行为的。</w:t>
      </w:r>
    </w:p>
    <w:p w14:paraId="404A2227">
      <w:pPr>
        <w:pStyle w:val="4"/>
        <w:adjustRightInd w:val="0"/>
        <w:ind w:firstLine="438"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8.2终止采购</w:t>
      </w:r>
    </w:p>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14:paraId="2BAD00AD">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bookmarkStart w:id="515" w:name="_Toc455587079"/>
      <w:bookmarkStart w:id="516" w:name="_Toc445554737"/>
      <w:bookmarkStart w:id="517" w:name="_Toc466024546"/>
      <w:bookmarkStart w:id="518" w:name="_Toc458504864"/>
      <w:bookmarkStart w:id="519" w:name="_Toc455587263"/>
      <w:r>
        <w:rPr>
          <w:rFonts w:hint="eastAsia" w:ascii="仿宋" w:hAnsi="仿宋" w:eastAsia="仿宋" w:cs="仿宋"/>
          <w:color w:val="auto"/>
          <w:sz w:val="24"/>
          <w:szCs w:val="24"/>
          <w:highlight w:val="none"/>
        </w:rPr>
        <w:t>在采购活动中因重大变故，采购任务取消的，采购人应当终止采购活动，通知所有参加采购活动的供应商。</w:t>
      </w:r>
    </w:p>
    <w:p w14:paraId="7E25AF81">
      <w:pPr>
        <w:pStyle w:val="3"/>
        <w:spacing w:line="360" w:lineRule="auto"/>
        <w:rPr>
          <w:rStyle w:val="35"/>
          <w:rFonts w:hint="eastAsia" w:ascii="仿宋" w:hAnsi="仿宋" w:eastAsia="仿宋" w:cs="仿宋"/>
          <w:b/>
          <w:bCs/>
          <w:color w:val="auto"/>
          <w:sz w:val="24"/>
          <w:szCs w:val="24"/>
          <w:highlight w:val="none"/>
        </w:rPr>
      </w:pPr>
      <w:r>
        <w:rPr>
          <w:rStyle w:val="35"/>
          <w:rFonts w:hint="eastAsia" w:ascii="仿宋" w:hAnsi="仿宋" w:eastAsia="仿宋" w:cs="仿宋"/>
          <w:b/>
          <w:bCs/>
          <w:color w:val="auto"/>
          <w:sz w:val="24"/>
          <w:szCs w:val="24"/>
          <w:highlight w:val="none"/>
        </w:rPr>
        <w:t>9. 询问与质疑</w:t>
      </w:r>
    </w:p>
    <w:p w14:paraId="39082738">
      <w:pPr>
        <w:pStyle w:val="4"/>
        <w:adjustRightInd w:val="0"/>
        <w:ind w:firstLine="438"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9.1 询问与质疑的提出</w:t>
      </w:r>
    </w:p>
    <w:p w14:paraId="34180A14">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9.1.1 供应商对磋商文件、采购过程、成交结果有相关疑问的，可以向采购代理机构提出询问。认为其权益受到损害的，可以提出书面质疑。质疑材料应当采用中文，有关材料是外文的，应当同时提供其中文译本。</w:t>
      </w:r>
    </w:p>
    <w:p w14:paraId="621BEDBE">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9.1.2 提出质疑的供应商应当是参与所质疑项目采购活动的供应商。潜在供应商已依法获取其可质疑的磋商文件的，可以对磋商文件提出质疑。</w:t>
      </w:r>
    </w:p>
    <w:p w14:paraId="5D59B2E3">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9.1.3 供应商应当在法定质疑期内一次性提出针对同一采购程序环节的质疑。质疑应当有具体的事项及根据，不得进行虚假、恶意质疑，扰乱采购活动正常的工作秩序。</w:t>
      </w:r>
    </w:p>
    <w:p w14:paraId="7359D96F">
      <w:pPr>
        <w:pStyle w:val="4"/>
        <w:adjustRightInd w:val="0"/>
        <w:ind w:firstLine="438"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9.2 质疑材料的要求</w:t>
      </w:r>
    </w:p>
    <w:p w14:paraId="50503D8B">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9.2.1 书面质疑材料应当包括以下内容：</w:t>
      </w:r>
    </w:p>
    <w:p w14:paraId="01640956">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（1）提起质疑的供应商名称、地址、邮编、联系人及联系电话；</w:t>
      </w:r>
    </w:p>
    <w:p w14:paraId="2819A328">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（2）项目名称、项目编号及分包号（如有）；</w:t>
      </w:r>
    </w:p>
    <w:p w14:paraId="09E547C9">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（3）具体、明确的质疑事项和与质疑事项相关的请求；</w:t>
      </w:r>
    </w:p>
    <w:p w14:paraId="68FCF132">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（4）有效线索和相关证明材料等事实依据；</w:t>
      </w:r>
    </w:p>
    <w:p w14:paraId="687DE612">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（5）必要的法律依据；</w:t>
      </w:r>
    </w:p>
    <w:p w14:paraId="34CCC913">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（6）提出质疑的日期。</w:t>
      </w:r>
    </w:p>
    <w:p w14:paraId="316A06E8">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为自然人的，应当由本人签字；供应商为法人或者其他组织的，应当加盖供应商单位公章，并由法定代表人（单位负责人）或者其授权代表签字或者盖章，并附法定代表人（单位负责人）及其委托联系人的有效身份证复印件。</w:t>
      </w:r>
    </w:p>
    <w:p w14:paraId="697347DC">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9.2.2 质疑材料存在以下情形的，采购代理机构不予受理。</w:t>
      </w:r>
    </w:p>
    <w:p w14:paraId="2B0D9C71">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（1）提起质疑的主体不是参与该采购项目活动的供应商；</w:t>
      </w:r>
    </w:p>
    <w:p w14:paraId="11078328">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（2）提起质疑的时间超过规定时限的；</w:t>
      </w:r>
    </w:p>
    <w:p w14:paraId="7C101D35">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（3）质疑材料不完整的；</w:t>
      </w:r>
    </w:p>
    <w:p w14:paraId="5968C421">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（4）质疑事项含有主观猜测等内容且未提供充分有效线索、难以查证的；</w:t>
      </w:r>
    </w:p>
    <w:p w14:paraId="1D1CC6A6">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（5）质疑事项缺乏事实依据，质疑事项不成立的；</w:t>
      </w:r>
    </w:p>
    <w:p w14:paraId="2C5699E4">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（6）捏造事实或者提供虚假材料；</w:t>
      </w:r>
    </w:p>
    <w:p w14:paraId="2BF8ADA4">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（7）以非法手段取得证明材料。证明材料来源的合法性存在明显疑问，供应商无法证明其取得方式合法的，视为以非法手段取得证明材料；</w:t>
      </w:r>
    </w:p>
    <w:p w14:paraId="18F1F067">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（8）对其他供应商的响应文件详细内容异议，无法提供合法来源渠道的。</w:t>
      </w:r>
    </w:p>
    <w:p w14:paraId="41B8A979">
      <w:pPr>
        <w:pStyle w:val="3"/>
        <w:spacing w:line="360" w:lineRule="auto"/>
        <w:rPr>
          <w:rStyle w:val="35"/>
          <w:rFonts w:hint="eastAsia" w:ascii="仿宋" w:hAnsi="仿宋" w:eastAsia="仿宋" w:cs="仿宋"/>
          <w:b/>
          <w:bCs/>
          <w:color w:val="auto"/>
          <w:sz w:val="24"/>
          <w:szCs w:val="24"/>
          <w:highlight w:val="none"/>
        </w:rPr>
      </w:pPr>
      <w:r>
        <w:rPr>
          <w:rStyle w:val="35"/>
          <w:rFonts w:hint="eastAsia" w:ascii="仿宋" w:hAnsi="仿宋" w:eastAsia="仿宋" w:cs="仿宋"/>
          <w:b/>
          <w:bCs/>
          <w:color w:val="auto"/>
          <w:sz w:val="24"/>
          <w:szCs w:val="24"/>
          <w:highlight w:val="none"/>
        </w:rPr>
        <w:t>10. 纪律和监督</w:t>
      </w:r>
      <w:bookmarkEnd w:id="515"/>
      <w:bookmarkEnd w:id="516"/>
      <w:bookmarkEnd w:id="517"/>
      <w:bookmarkEnd w:id="518"/>
      <w:bookmarkEnd w:id="519"/>
    </w:p>
    <w:p w14:paraId="1721BD1E">
      <w:pPr>
        <w:pStyle w:val="4"/>
        <w:adjustRightInd w:val="0"/>
        <w:ind w:firstLine="438" w:firstLineChars="200"/>
        <w:rPr>
          <w:rFonts w:hint="eastAsia" w:ascii="仿宋" w:hAnsi="仿宋" w:eastAsia="仿宋" w:cs="仿宋"/>
          <w:color w:val="auto"/>
          <w:sz w:val="24"/>
          <w:szCs w:val="24"/>
          <w:highlight w:val="none"/>
          <w:lang w:eastAsia="zh-CN"/>
        </w:rPr>
      </w:pPr>
      <w:bookmarkStart w:id="520" w:name="_Toc338943746"/>
      <w:bookmarkStart w:id="521" w:name="_Toc333599705"/>
      <w:bookmarkStart w:id="522" w:name="_Toc458504865"/>
      <w:bookmarkStart w:id="523" w:name="_Toc455587080"/>
      <w:bookmarkStart w:id="524" w:name="_Toc371415965"/>
      <w:bookmarkStart w:id="525" w:name="_Toc152042351"/>
      <w:bookmarkStart w:id="526" w:name="_Toc445554738"/>
      <w:bookmarkStart w:id="527" w:name="_Toc333600729"/>
      <w:bookmarkStart w:id="528" w:name="_Toc333587899"/>
      <w:bookmarkStart w:id="529" w:name="_Toc342296208"/>
      <w:bookmarkStart w:id="530" w:name="_Toc152045575"/>
      <w:bookmarkStart w:id="531" w:name="_Toc338944651"/>
      <w:bookmarkStart w:id="532" w:name="_Toc342294760"/>
      <w:bookmarkStart w:id="533" w:name="_Toc466024547"/>
      <w:bookmarkStart w:id="534" w:name="_Toc455587264"/>
      <w:bookmarkStart w:id="535" w:name="_Toc342297665"/>
      <w:bookmarkStart w:id="536" w:name="_Toc179632593"/>
      <w:bookmarkStart w:id="537" w:name="_Toc144974543"/>
      <w:r>
        <w:rPr>
          <w:rFonts w:hint="eastAsia" w:ascii="仿宋" w:hAnsi="仿宋" w:eastAsia="仿宋" w:cs="仿宋"/>
          <w:color w:val="auto"/>
          <w:sz w:val="24"/>
          <w:szCs w:val="24"/>
          <w:highlight w:val="none"/>
          <w:lang w:eastAsia="zh-CN"/>
        </w:rPr>
        <w:t>10.1 对采购人的纪律要求</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14:paraId="62321452">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采购人不得泄漏采购活动中应当保密的情况和资料，不得与供应商串通损害国家利益、社会公共利益或者他人合法权益。</w:t>
      </w:r>
    </w:p>
    <w:p w14:paraId="094422F3">
      <w:pPr>
        <w:pStyle w:val="4"/>
        <w:adjustRightInd w:val="0"/>
        <w:ind w:firstLine="438" w:firstLineChars="200"/>
        <w:rPr>
          <w:rFonts w:hint="eastAsia" w:ascii="仿宋" w:hAnsi="仿宋" w:eastAsia="仿宋" w:cs="仿宋"/>
          <w:color w:val="auto"/>
          <w:sz w:val="24"/>
          <w:szCs w:val="24"/>
          <w:highlight w:val="none"/>
          <w:lang w:eastAsia="zh-CN"/>
        </w:rPr>
      </w:pPr>
      <w:bookmarkStart w:id="538" w:name="_Toc455587081"/>
      <w:bookmarkStart w:id="539" w:name="_Toc466024548"/>
      <w:bookmarkStart w:id="540" w:name="_Toc152045576"/>
      <w:bookmarkStart w:id="541" w:name="_Toc371415966"/>
      <w:bookmarkStart w:id="542" w:name="_Toc333599706"/>
      <w:bookmarkStart w:id="543" w:name="_Toc338943747"/>
      <w:bookmarkStart w:id="544" w:name="_Toc338944652"/>
      <w:bookmarkStart w:id="545" w:name="_Toc333600730"/>
      <w:bookmarkStart w:id="546" w:name="_Toc179632594"/>
      <w:bookmarkStart w:id="547" w:name="_Toc342294761"/>
      <w:bookmarkStart w:id="548" w:name="_Toc144974544"/>
      <w:bookmarkStart w:id="549" w:name="_Toc458504866"/>
      <w:bookmarkStart w:id="550" w:name="_Toc152042352"/>
      <w:bookmarkStart w:id="551" w:name="_Toc445554739"/>
      <w:bookmarkStart w:id="552" w:name="_Toc333587900"/>
      <w:bookmarkStart w:id="553" w:name="_Toc455587265"/>
      <w:bookmarkStart w:id="554" w:name="_Toc342297666"/>
      <w:bookmarkStart w:id="555" w:name="_Toc342296209"/>
      <w:r>
        <w:rPr>
          <w:rFonts w:hint="eastAsia" w:ascii="仿宋" w:hAnsi="仿宋" w:eastAsia="仿宋" w:cs="仿宋"/>
          <w:color w:val="auto"/>
          <w:sz w:val="24"/>
          <w:szCs w:val="24"/>
          <w:highlight w:val="none"/>
          <w:lang w:eastAsia="zh-CN"/>
        </w:rPr>
        <w:t>10.2 对供应商的纪律要求</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14:paraId="3FD6A839">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供应商不得相互串通或者与采购人串通，不得向采购人或者磋商小组成员行贿谋取成交，不得以他人名义参加采购活动或者以其他方式弄虚作假骗取成交；供应商不得以任何方式干扰、影响评审工作。</w:t>
      </w:r>
    </w:p>
    <w:p w14:paraId="060D7880">
      <w:pPr>
        <w:pStyle w:val="4"/>
        <w:adjustRightInd w:val="0"/>
        <w:ind w:firstLine="438" w:firstLineChars="200"/>
        <w:rPr>
          <w:rFonts w:hint="eastAsia" w:ascii="仿宋" w:hAnsi="仿宋" w:eastAsia="仿宋" w:cs="仿宋"/>
          <w:color w:val="auto"/>
          <w:sz w:val="24"/>
          <w:szCs w:val="24"/>
          <w:highlight w:val="none"/>
          <w:lang w:eastAsia="zh-CN"/>
        </w:rPr>
      </w:pPr>
      <w:bookmarkStart w:id="556" w:name="_Toc144974545"/>
      <w:bookmarkStart w:id="557" w:name="_Toc458504867"/>
      <w:bookmarkStart w:id="558" w:name="_Toc179632595"/>
      <w:bookmarkStart w:id="559" w:name="_Toc466024549"/>
      <w:bookmarkStart w:id="560" w:name="_Toc333600731"/>
      <w:bookmarkStart w:id="561" w:name="_Toc152045577"/>
      <w:bookmarkStart w:id="562" w:name="_Toc342297667"/>
      <w:bookmarkStart w:id="563" w:name="_Toc333599707"/>
      <w:bookmarkStart w:id="564" w:name="_Toc455587082"/>
      <w:bookmarkStart w:id="565" w:name="_Toc445554740"/>
      <w:bookmarkStart w:id="566" w:name="_Toc338944653"/>
      <w:bookmarkStart w:id="567" w:name="_Toc455587266"/>
      <w:bookmarkStart w:id="568" w:name="_Toc371415967"/>
      <w:bookmarkStart w:id="569" w:name="_Toc333587901"/>
      <w:bookmarkStart w:id="570" w:name="_Toc338943748"/>
      <w:bookmarkStart w:id="571" w:name="_Toc152042353"/>
      <w:bookmarkStart w:id="572" w:name="_Toc342296210"/>
      <w:bookmarkStart w:id="573" w:name="_Toc342294762"/>
      <w:r>
        <w:rPr>
          <w:rFonts w:hint="eastAsia" w:ascii="仿宋" w:hAnsi="仿宋" w:eastAsia="仿宋" w:cs="仿宋"/>
          <w:color w:val="auto"/>
          <w:sz w:val="24"/>
          <w:szCs w:val="24"/>
          <w:highlight w:val="none"/>
          <w:lang w:eastAsia="zh-CN"/>
        </w:rPr>
        <w:t>10.3 对磋商小组成员的纪律要求</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14:paraId="133F22AF">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小组成员不得收受他人的财物或者其他好处，不得向他人透漏对响应文件的评审和比较、成交候选人的推荐情况以及评审有关的其他情况。在评审活动中，磋商小组成员不得擅离职守，影响评审程序正常进行，不得使用“评审办法”没有规定的评审因素和标准进行评审。</w:t>
      </w:r>
    </w:p>
    <w:p w14:paraId="2437A348">
      <w:pPr>
        <w:pStyle w:val="4"/>
        <w:adjustRightInd w:val="0"/>
        <w:ind w:firstLine="438" w:firstLineChars="200"/>
        <w:rPr>
          <w:rFonts w:hint="eastAsia" w:ascii="仿宋" w:hAnsi="仿宋" w:eastAsia="仿宋" w:cs="仿宋"/>
          <w:color w:val="auto"/>
          <w:sz w:val="24"/>
          <w:szCs w:val="24"/>
          <w:highlight w:val="none"/>
          <w:lang w:eastAsia="zh-CN"/>
        </w:rPr>
      </w:pPr>
      <w:bookmarkStart w:id="574" w:name="_Toc455587083"/>
      <w:bookmarkStart w:id="575" w:name="_Toc333599708"/>
      <w:bookmarkStart w:id="576" w:name="_Toc371415968"/>
      <w:bookmarkStart w:id="577" w:name="_Toc458504868"/>
      <w:bookmarkStart w:id="578" w:name="_Toc333600732"/>
      <w:bookmarkStart w:id="579" w:name="_Toc338943749"/>
      <w:bookmarkStart w:id="580" w:name="_Toc152045578"/>
      <w:bookmarkStart w:id="581" w:name="_Toc152042354"/>
      <w:bookmarkStart w:id="582" w:name="_Toc179632596"/>
      <w:bookmarkStart w:id="583" w:name="_Toc455587267"/>
      <w:bookmarkStart w:id="584" w:name="_Toc445554741"/>
      <w:bookmarkStart w:id="585" w:name="_Toc342297668"/>
      <w:bookmarkStart w:id="586" w:name="_Toc466024550"/>
      <w:bookmarkStart w:id="587" w:name="_Toc333587902"/>
      <w:bookmarkStart w:id="588" w:name="_Toc338944654"/>
      <w:bookmarkStart w:id="589" w:name="_Toc342296211"/>
      <w:bookmarkStart w:id="590" w:name="_Toc342294763"/>
      <w:bookmarkStart w:id="591" w:name="_Toc144974546"/>
      <w:r>
        <w:rPr>
          <w:rFonts w:hint="eastAsia" w:ascii="仿宋" w:hAnsi="仿宋" w:eastAsia="仿宋" w:cs="仿宋"/>
          <w:color w:val="auto"/>
          <w:sz w:val="24"/>
          <w:szCs w:val="24"/>
          <w:highlight w:val="none"/>
          <w:lang w:eastAsia="zh-CN"/>
        </w:rPr>
        <w:t>10.4 对与评审活动有关的工作人员的纪律要求</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14:paraId="4E263BFF">
      <w:pPr>
        <w:widowControl/>
        <w:adjustRightInd w:val="0"/>
        <w:snapToGrid w:val="0"/>
        <w:spacing w:line="360" w:lineRule="auto"/>
        <w:ind w:firstLine="438" w:firstLineChars="200"/>
        <w:rPr>
          <w:rFonts w:hint="eastAsia" w:ascii="仿宋" w:hAnsi="仿宋" w:eastAsia="仿宋" w:cs="仿宋"/>
          <w:color w:val="auto"/>
          <w:sz w:val="24"/>
          <w:szCs w:val="24"/>
          <w:highlight w:val="none"/>
        </w:rPr>
      </w:pPr>
      <w:bookmarkStart w:id="592" w:name="_Toc152042355"/>
      <w:r>
        <w:rPr>
          <w:rFonts w:hint="eastAsia" w:ascii="仿宋" w:hAnsi="仿宋" w:eastAsia="仿宋" w:cs="仿宋"/>
          <w:color w:val="auto"/>
          <w:sz w:val="24"/>
          <w:szCs w:val="24"/>
          <w:highlight w:val="none"/>
        </w:rPr>
        <w:t>与评审活动有关的工作人员不得收受他人的财物或者其他好处，不得向他人透漏对响应文件的评审和比较、成交候选人的推荐情况以及评审有关的其他情况。在评审活动中，与评审活动有关的工作人员不得擅离职守，影响评审程序正常进行。</w:t>
      </w:r>
      <w:bookmarkEnd w:id="592"/>
    </w:p>
    <w:bookmarkEnd w:id="591"/>
    <w:p w14:paraId="5D24E454">
      <w:pPr>
        <w:pStyle w:val="4"/>
        <w:adjustRightInd w:val="0"/>
        <w:ind w:firstLine="438" w:firstLineChars="200"/>
        <w:rPr>
          <w:rFonts w:hint="eastAsia" w:ascii="仿宋" w:hAnsi="仿宋" w:eastAsia="仿宋" w:cs="仿宋"/>
          <w:color w:val="auto"/>
          <w:sz w:val="24"/>
          <w:szCs w:val="24"/>
          <w:highlight w:val="none"/>
          <w:lang w:val="en-US" w:eastAsia="zh-CN"/>
        </w:rPr>
      </w:pPr>
      <w:bookmarkStart w:id="593" w:name="_Toc458504870"/>
      <w:bookmarkStart w:id="594" w:name="_Toc466024552"/>
      <w:bookmarkStart w:id="595" w:name="_Toc338943751"/>
      <w:bookmarkStart w:id="596" w:name="_Toc338944656"/>
      <w:bookmarkStart w:id="597" w:name="_Toc333600734"/>
      <w:bookmarkStart w:id="598" w:name="_Toc342296213"/>
      <w:bookmarkStart w:id="599" w:name="_Toc152042357"/>
      <w:bookmarkStart w:id="600" w:name="_Toc179632598"/>
      <w:bookmarkStart w:id="601" w:name="_Toc445554743"/>
      <w:bookmarkStart w:id="602" w:name="_Toc152045580"/>
      <w:bookmarkStart w:id="603" w:name="_Toc455587085"/>
      <w:bookmarkStart w:id="604" w:name="_Toc333599710"/>
      <w:bookmarkStart w:id="605" w:name="_Toc342294765"/>
      <w:bookmarkStart w:id="606" w:name="_Toc144974547"/>
      <w:bookmarkStart w:id="607" w:name="_Toc342297670"/>
      <w:bookmarkStart w:id="608" w:name="_Toc371415963"/>
      <w:bookmarkStart w:id="609" w:name="_Toc455587269"/>
      <w:r>
        <w:rPr>
          <w:rFonts w:hint="eastAsia" w:ascii="仿宋" w:hAnsi="仿宋" w:eastAsia="仿宋" w:cs="仿宋"/>
          <w:color w:val="auto"/>
          <w:sz w:val="24"/>
          <w:szCs w:val="24"/>
          <w:highlight w:val="none"/>
          <w:lang w:val="en-US" w:eastAsia="zh-CN"/>
        </w:rPr>
        <w:t>11.需要补充的其他内容</w:t>
      </w:r>
    </w:p>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14:paraId="6BF50336">
      <w:pPr>
        <w:widowControl/>
        <w:adjustRightInd w:val="0"/>
        <w:snapToGrid w:val="0"/>
        <w:spacing w:line="360" w:lineRule="auto"/>
        <w:ind w:firstLine="438" w:firstLineChars="200"/>
        <w:rPr>
          <w:rFonts w:hint="eastAsia" w:ascii="仿宋" w:hAnsi="仿宋" w:eastAsia="仿宋" w:cs="仿宋"/>
          <w:color w:val="auto"/>
          <w:sz w:val="24"/>
          <w:szCs w:val="24"/>
          <w:highlight w:val="none"/>
          <w:lang w:bidi="en-US"/>
        </w:rPr>
      </w:pPr>
      <w:bookmarkStart w:id="610" w:name="_Toc466024554"/>
      <w:bookmarkStart w:id="611" w:name="_Toc455587271"/>
      <w:bookmarkStart w:id="612" w:name="_Toc445554745"/>
      <w:bookmarkStart w:id="613" w:name="_Toc455587087"/>
      <w:bookmarkStart w:id="614" w:name="_Toc458504872"/>
      <w:r>
        <w:rPr>
          <w:rFonts w:hint="eastAsia" w:ascii="仿宋" w:hAnsi="仿宋" w:eastAsia="仿宋" w:cs="仿宋"/>
          <w:color w:val="auto"/>
          <w:sz w:val="24"/>
          <w:szCs w:val="24"/>
          <w:highlight w:val="none"/>
          <w:lang w:bidi="en-US"/>
        </w:rPr>
        <w:t>需要补充的其他内容</w:t>
      </w:r>
      <w:bookmarkEnd w:id="610"/>
      <w:bookmarkEnd w:id="611"/>
      <w:bookmarkEnd w:id="612"/>
      <w:bookmarkEnd w:id="613"/>
      <w:bookmarkEnd w:id="614"/>
      <w:r>
        <w:rPr>
          <w:rFonts w:hint="eastAsia" w:ascii="仿宋" w:hAnsi="仿宋" w:eastAsia="仿宋" w:cs="仿宋"/>
          <w:color w:val="auto"/>
          <w:sz w:val="24"/>
          <w:szCs w:val="24"/>
          <w:highlight w:val="none"/>
          <w:lang w:bidi="en-US"/>
        </w:rPr>
        <w:t>：见供应商须知前附表。</w:t>
      </w:r>
    </w:p>
    <w:bookmarkEnd w:id="30"/>
    <w:bookmarkEnd w:id="31"/>
    <w:bookmarkEnd w:id="32"/>
    <w:p w14:paraId="4A122E47">
      <w:pPr>
        <w:rPr>
          <w:rFonts w:hint="eastAsia" w:ascii="仿宋" w:hAnsi="仿宋" w:eastAsia="仿宋" w:cs="仿宋"/>
          <w:b/>
          <w:color w:val="000000"/>
          <w:sz w:val="24"/>
          <w:szCs w:val="24"/>
        </w:rPr>
      </w:pPr>
      <w:bookmarkStart w:id="615" w:name="_Toc214693601"/>
      <w:r>
        <w:rPr>
          <w:rFonts w:hint="eastAsia" w:ascii="仿宋" w:hAnsi="仿宋" w:eastAsia="仿宋" w:cs="仿宋"/>
          <w:b/>
          <w:color w:val="000000"/>
          <w:sz w:val="24"/>
          <w:szCs w:val="24"/>
        </w:rPr>
        <w:br w:type="page"/>
      </w:r>
    </w:p>
    <w:p w14:paraId="66E5DF41">
      <w:pPr>
        <w:pStyle w:val="2"/>
        <w:widowControl/>
        <w:snapToGrid w:val="0"/>
        <w:spacing w:line="360" w:lineRule="auto"/>
        <w:jc w:val="center"/>
        <w:rPr>
          <w:rFonts w:hint="eastAsia" w:ascii="仿宋" w:hAnsi="仿宋" w:eastAsia="仿宋" w:cs="仿宋"/>
          <w:color w:val="auto"/>
          <w:highlight w:val="none"/>
        </w:rPr>
      </w:pPr>
      <w:bookmarkStart w:id="616" w:name="_Toc445554746"/>
      <w:bookmarkStart w:id="617" w:name="_Toc466024555"/>
      <w:bookmarkStart w:id="618" w:name="_Toc9964"/>
      <w:r>
        <w:rPr>
          <w:rFonts w:hint="eastAsia" w:ascii="仿宋" w:hAnsi="仿宋" w:eastAsia="仿宋" w:cs="仿宋"/>
          <w:color w:val="auto"/>
          <w:highlight w:val="none"/>
        </w:rPr>
        <w:t xml:space="preserve">第三章  </w:t>
      </w:r>
      <w:bookmarkEnd w:id="616"/>
      <w:bookmarkEnd w:id="617"/>
      <w:r>
        <w:rPr>
          <w:rFonts w:hint="eastAsia" w:ascii="仿宋" w:hAnsi="仿宋" w:eastAsia="仿宋" w:cs="仿宋"/>
          <w:color w:val="auto"/>
          <w:highlight w:val="none"/>
        </w:rPr>
        <w:t>采购需求</w:t>
      </w:r>
      <w:bookmarkEnd w:id="618"/>
    </w:p>
    <w:p w14:paraId="10DDADD0">
      <w:pPr>
        <w:spacing w:line="240" w:lineRule="auto"/>
        <w:rPr>
          <w:rFonts w:hint="eastAsia" w:ascii="仿宋" w:hAnsi="仿宋" w:eastAsia="仿宋" w:cs="仿宋"/>
          <w:sz w:val="24"/>
          <w:szCs w:val="24"/>
        </w:rPr>
      </w:pPr>
      <w:r>
        <w:rPr>
          <w:rFonts w:hint="eastAsia" w:ascii="仿宋" w:hAnsi="仿宋" w:eastAsia="仿宋" w:cs="仿宋"/>
          <w:sz w:val="24"/>
          <w:szCs w:val="24"/>
        </w:rPr>
        <w:t>前注：</w:t>
      </w:r>
    </w:p>
    <w:p w14:paraId="4DF3D74D">
      <w:pPr>
        <w:spacing w:line="240" w:lineRule="auto"/>
        <w:ind w:firstLine="437"/>
        <w:rPr>
          <w:rFonts w:hint="eastAsia" w:ascii="仿宋" w:hAnsi="仿宋" w:eastAsia="仿宋" w:cs="仿宋"/>
          <w:sz w:val="24"/>
          <w:szCs w:val="24"/>
        </w:rPr>
      </w:pPr>
      <w:r>
        <w:rPr>
          <w:rFonts w:hint="eastAsia" w:ascii="仿宋" w:hAnsi="仿宋" w:eastAsia="仿宋" w:cs="仿宋"/>
          <w:sz w:val="24"/>
          <w:szCs w:val="24"/>
        </w:rPr>
        <w:t>本说明中提出的技术方案仅为参考，如无明确限制，供应商可以进行优化，提供满足用户实际需要的更优（或者性能实质上不低于的）服务方案，且此方案须经</w:t>
      </w:r>
      <w:r>
        <w:rPr>
          <w:rFonts w:hint="eastAsia" w:ascii="仿宋" w:hAnsi="仿宋" w:eastAsia="仿宋" w:cs="仿宋"/>
          <w:sz w:val="24"/>
          <w:szCs w:val="24"/>
          <w:lang w:val="en-US" w:eastAsia="zh-CN"/>
        </w:rPr>
        <w:t>评审</w:t>
      </w:r>
      <w:r>
        <w:rPr>
          <w:rFonts w:hint="eastAsia" w:ascii="仿宋" w:hAnsi="仿宋" w:eastAsia="仿宋" w:cs="仿宋"/>
          <w:sz w:val="24"/>
          <w:szCs w:val="24"/>
        </w:rPr>
        <w:t>小组评审认可。</w:t>
      </w:r>
    </w:p>
    <w:p w14:paraId="72A8A92E">
      <w:pPr>
        <w:spacing w:line="240" w:lineRule="auto"/>
        <w:ind w:firstLine="437"/>
        <w:outlineLvl w:val="1"/>
        <w:rPr>
          <w:rFonts w:hint="eastAsia" w:ascii="仿宋" w:hAnsi="仿宋" w:eastAsia="仿宋" w:cs="仿宋"/>
          <w:b/>
          <w:sz w:val="24"/>
          <w:szCs w:val="24"/>
        </w:rPr>
      </w:pPr>
      <w:bookmarkStart w:id="619" w:name="_Toc26330"/>
      <w:bookmarkStart w:id="620" w:name="_Toc18250"/>
      <w:bookmarkStart w:id="621" w:name="_Toc9765"/>
      <w:r>
        <w:rPr>
          <w:rFonts w:hint="eastAsia" w:ascii="仿宋" w:hAnsi="仿宋" w:eastAsia="仿宋" w:cs="仿宋"/>
          <w:b/>
          <w:sz w:val="24"/>
          <w:szCs w:val="24"/>
        </w:rPr>
        <w:t>一、采购需求前附表</w:t>
      </w:r>
      <w:bookmarkEnd w:id="619"/>
      <w:bookmarkEnd w:id="620"/>
      <w:bookmarkEnd w:id="621"/>
    </w:p>
    <w:tbl>
      <w:tblPr>
        <w:tblStyle w:val="19"/>
        <w:tblW w:w="91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1542"/>
        <w:gridCol w:w="6964"/>
      </w:tblGrid>
      <w:tr w14:paraId="6A19B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85" w:type="dxa"/>
            <w:noWrap w:val="0"/>
            <w:vAlign w:val="center"/>
          </w:tcPr>
          <w:p w14:paraId="3C80C539">
            <w:pPr>
              <w:pStyle w:val="29"/>
              <w:keepNext w:val="0"/>
              <w:keepLines w:val="0"/>
              <w:pageBreakBefore w:val="0"/>
              <w:widowControl w:val="0"/>
              <w:suppressLineNumbers w:val="0"/>
              <w:pBdr>
                <w:bottom w:val="none" w:color="auto" w:sz="0" w:space="0"/>
              </w:pBdr>
              <w:tabs>
                <w:tab w:val="clear" w:pos="4153"/>
                <w:tab w:val="clear" w:pos="8306"/>
              </w:tabs>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b/>
                <w:kern w:val="2"/>
                <w:sz w:val="24"/>
                <w:szCs w:val="24"/>
              </w:rPr>
            </w:pPr>
            <w:r>
              <w:rPr>
                <w:rFonts w:hint="eastAsia" w:ascii="仿宋" w:hAnsi="仿宋" w:eastAsia="仿宋" w:cs="仿宋"/>
                <w:b/>
                <w:kern w:val="2"/>
                <w:sz w:val="24"/>
                <w:szCs w:val="24"/>
              </w:rPr>
              <w:t>序号</w:t>
            </w:r>
          </w:p>
        </w:tc>
        <w:tc>
          <w:tcPr>
            <w:tcW w:w="1542" w:type="dxa"/>
            <w:noWrap w:val="0"/>
            <w:vAlign w:val="center"/>
          </w:tcPr>
          <w:p w14:paraId="0068BC02">
            <w:pPr>
              <w:pStyle w:val="27"/>
              <w:keepNext w:val="0"/>
              <w:keepLines w:val="0"/>
              <w:widowControl w:val="0"/>
              <w:suppressLineNumbers w:val="0"/>
              <w:spacing w:before="0" w:beforeAutospacing="0" w:after="0" w:afterAutospacing="0" w:line="240" w:lineRule="auto"/>
              <w:ind w:left="0" w:right="0"/>
              <w:rPr>
                <w:rFonts w:hint="eastAsia" w:ascii="仿宋" w:hAnsi="仿宋" w:eastAsia="仿宋" w:cs="仿宋"/>
                <w:bCs w:val="0"/>
                <w:sz w:val="24"/>
                <w:szCs w:val="24"/>
              </w:rPr>
            </w:pPr>
            <w:r>
              <w:rPr>
                <w:rFonts w:hint="eastAsia" w:ascii="仿宋" w:hAnsi="仿宋" w:eastAsia="仿宋" w:cs="仿宋"/>
                <w:bCs w:val="0"/>
                <w:sz w:val="24"/>
                <w:szCs w:val="24"/>
              </w:rPr>
              <w:t>条款名称</w:t>
            </w:r>
          </w:p>
        </w:tc>
        <w:tc>
          <w:tcPr>
            <w:tcW w:w="6964" w:type="dxa"/>
            <w:noWrap w:val="0"/>
            <w:vAlign w:val="center"/>
          </w:tcPr>
          <w:p w14:paraId="45468D8F">
            <w:pPr>
              <w:pStyle w:val="27"/>
              <w:keepNext w:val="0"/>
              <w:keepLines w:val="0"/>
              <w:widowControl w:val="0"/>
              <w:suppressLineNumbers w:val="0"/>
              <w:spacing w:before="0" w:beforeAutospacing="0" w:after="0" w:afterAutospacing="0" w:line="240" w:lineRule="auto"/>
              <w:ind w:left="0" w:right="0"/>
              <w:rPr>
                <w:rFonts w:hint="eastAsia" w:ascii="仿宋" w:hAnsi="仿宋" w:eastAsia="仿宋" w:cs="仿宋"/>
                <w:bCs w:val="0"/>
                <w:sz w:val="24"/>
                <w:szCs w:val="24"/>
              </w:rPr>
            </w:pPr>
            <w:r>
              <w:rPr>
                <w:rFonts w:hint="eastAsia" w:ascii="仿宋" w:hAnsi="仿宋" w:eastAsia="仿宋" w:cs="仿宋"/>
                <w:bCs w:val="0"/>
                <w:sz w:val="24"/>
                <w:szCs w:val="24"/>
              </w:rPr>
              <w:t>内容、说明与要求</w:t>
            </w:r>
          </w:p>
        </w:tc>
      </w:tr>
      <w:tr w14:paraId="013DE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85" w:type="dxa"/>
            <w:noWrap w:val="0"/>
            <w:vAlign w:val="center"/>
          </w:tcPr>
          <w:p w14:paraId="12528F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4"/>
                <w:szCs w:val="24"/>
              </w:rPr>
            </w:pPr>
            <w:r>
              <w:rPr>
                <w:rFonts w:hint="eastAsia" w:ascii="仿宋" w:hAnsi="仿宋" w:eastAsia="仿宋" w:cs="仿宋"/>
                <w:sz w:val="24"/>
                <w:szCs w:val="24"/>
              </w:rPr>
              <w:t>1</w:t>
            </w:r>
          </w:p>
        </w:tc>
        <w:tc>
          <w:tcPr>
            <w:tcW w:w="1542" w:type="dxa"/>
            <w:noWrap w:val="0"/>
            <w:vAlign w:val="center"/>
          </w:tcPr>
          <w:p w14:paraId="3E1B35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4"/>
                <w:szCs w:val="24"/>
              </w:rPr>
            </w:pPr>
            <w:r>
              <w:rPr>
                <w:rFonts w:hint="eastAsia" w:ascii="仿宋" w:hAnsi="仿宋" w:eastAsia="仿宋" w:cs="仿宋"/>
                <w:sz w:val="24"/>
                <w:szCs w:val="24"/>
              </w:rPr>
              <w:t>服务地点</w:t>
            </w:r>
          </w:p>
        </w:tc>
        <w:tc>
          <w:tcPr>
            <w:tcW w:w="6964" w:type="dxa"/>
            <w:noWrap w:val="0"/>
            <w:vAlign w:val="center"/>
          </w:tcPr>
          <w:p w14:paraId="2C7E5A0F">
            <w:pPr>
              <w:keepNext w:val="0"/>
              <w:keepLines w:val="0"/>
              <w:suppressLineNumbers w:val="0"/>
              <w:spacing w:before="0" w:beforeAutospacing="0" w:after="0" w:afterAutospacing="0" w:line="240" w:lineRule="auto"/>
              <w:ind w:left="0" w:right="0"/>
              <w:rPr>
                <w:rFonts w:hint="eastAsia" w:ascii="仿宋" w:hAnsi="仿宋" w:eastAsia="仿宋" w:cs="仿宋"/>
                <w:sz w:val="24"/>
                <w:szCs w:val="24"/>
              </w:rPr>
            </w:pPr>
            <w:r>
              <w:rPr>
                <w:rFonts w:hint="eastAsia" w:ascii="仿宋" w:hAnsi="仿宋" w:eastAsia="仿宋" w:cs="仿宋"/>
                <w:sz w:val="24"/>
                <w:szCs w:val="24"/>
              </w:rPr>
              <w:t>中国科学技术大学东区、中区、西区、南区、北区及采购人指定地点</w:t>
            </w:r>
          </w:p>
        </w:tc>
      </w:tr>
      <w:tr w14:paraId="72F74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85" w:type="dxa"/>
            <w:noWrap w:val="0"/>
            <w:vAlign w:val="center"/>
          </w:tcPr>
          <w:p w14:paraId="63DEA3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1542" w:type="dxa"/>
            <w:noWrap w:val="0"/>
            <w:vAlign w:val="center"/>
          </w:tcPr>
          <w:p w14:paraId="439D2A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项目模式</w:t>
            </w:r>
          </w:p>
        </w:tc>
        <w:tc>
          <w:tcPr>
            <w:tcW w:w="6964" w:type="dxa"/>
            <w:noWrap w:val="0"/>
            <w:vAlign w:val="center"/>
          </w:tcPr>
          <w:p w14:paraId="56A28BC3">
            <w:pPr>
              <w:keepNext w:val="0"/>
              <w:keepLines w:val="0"/>
              <w:suppressLineNumbers w:val="0"/>
              <w:spacing w:before="0" w:beforeAutospacing="0" w:after="0" w:afterAutospacing="0" w:line="240" w:lineRule="auto"/>
              <w:ind w:left="0" w:right="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本项目为校园标识标牌更新改造设计、拆除、制作、安装一体化项目。成交供应商负责现场勘测深化设计、旧标牌拆除清运、标牌产品生产制作、运输、现场安装（含高空作业）、结构加固、辅材采购、安全防护、成品保护、样品小样制作、检测验收、质保期维保等全部工作。采购人按实际安装情况据实结算，不再另行支付任何费用。</w:t>
            </w:r>
          </w:p>
        </w:tc>
      </w:tr>
      <w:tr w14:paraId="1ADDA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85" w:type="dxa"/>
            <w:noWrap w:val="0"/>
            <w:vAlign w:val="center"/>
          </w:tcPr>
          <w:p w14:paraId="2F992B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1542" w:type="dxa"/>
            <w:noWrap w:val="0"/>
            <w:vAlign w:val="center"/>
          </w:tcPr>
          <w:p w14:paraId="3DF036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项目内容范围</w:t>
            </w:r>
          </w:p>
        </w:tc>
        <w:tc>
          <w:tcPr>
            <w:tcW w:w="6964" w:type="dxa"/>
            <w:noWrap w:val="0"/>
            <w:vAlign w:val="center"/>
          </w:tcPr>
          <w:p w14:paraId="04A60CCA">
            <w:pPr>
              <w:keepNext w:val="0"/>
              <w:keepLines w:val="0"/>
              <w:suppressLineNumbers w:val="0"/>
              <w:spacing w:before="0" w:beforeAutospacing="0" w:after="0" w:afterAutospacing="0" w:line="240" w:lineRule="auto"/>
              <w:ind w:left="0" w:right="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包含道路指引牌、地上楼栋信息牌、墙上楼栋信息牌、校园总览地图、地下车库入口标识牌等五类校园导视标牌系统更新改造，覆盖各校区指定点位。</w:t>
            </w:r>
          </w:p>
        </w:tc>
      </w:tr>
      <w:tr w14:paraId="62CBD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85" w:type="dxa"/>
            <w:noWrap w:val="0"/>
            <w:vAlign w:val="center"/>
          </w:tcPr>
          <w:p w14:paraId="5268CF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w:t>
            </w:r>
          </w:p>
        </w:tc>
        <w:tc>
          <w:tcPr>
            <w:tcW w:w="1542" w:type="dxa"/>
            <w:noWrap w:val="0"/>
            <w:vAlign w:val="center"/>
          </w:tcPr>
          <w:p w14:paraId="407A16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工期要求</w:t>
            </w:r>
          </w:p>
        </w:tc>
        <w:tc>
          <w:tcPr>
            <w:tcW w:w="6964" w:type="dxa"/>
            <w:noWrap w:val="0"/>
            <w:vAlign w:val="center"/>
          </w:tcPr>
          <w:p w14:paraId="50F40A05">
            <w:pPr>
              <w:keepNext w:val="0"/>
              <w:keepLines w:val="0"/>
              <w:suppressLineNumbers w:val="0"/>
              <w:spacing w:before="0" w:beforeAutospacing="0" w:after="0" w:afterAutospacing="0" w:line="240" w:lineRule="auto"/>
              <w:ind w:left="0" w:right="0"/>
              <w:rPr>
                <w:rFonts w:hint="eastAsia" w:ascii="仿宋" w:hAnsi="仿宋" w:eastAsia="仿宋" w:cs="仿宋"/>
                <w:sz w:val="24"/>
                <w:szCs w:val="24"/>
                <w:lang w:val="en-US" w:eastAsia="zh-CN"/>
              </w:rPr>
            </w:pPr>
            <w:r>
              <w:rPr>
                <w:rFonts w:hint="eastAsia" w:ascii="仿宋" w:hAnsi="仿宋" w:eastAsia="仿宋" w:cs="仿宋"/>
                <w:sz w:val="24"/>
                <w:szCs w:val="24"/>
              </w:rPr>
              <w:t>接到采购人通知后</w:t>
            </w:r>
            <w:r>
              <w:rPr>
                <w:rFonts w:hint="eastAsia" w:ascii="仿宋" w:hAnsi="仿宋" w:eastAsia="仿宋" w:cs="仿宋"/>
                <w:sz w:val="24"/>
                <w:szCs w:val="24"/>
                <w:lang w:val="en-US" w:eastAsia="zh-CN"/>
              </w:rPr>
              <w:t>60日历日内</w:t>
            </w:r>
            <w:r>
              <w:rPr>
                <w:rFonts w:hint="eastAsia" w:ascii="仿宋" w:hAnsi="仿宋" w:eastAsia="仿宋" w:cs="仿宋"/>
                <w:sz w:val="24"/>
                <w:szCs w:val="24"/>
              </w:rPr>
              <w:t>完成全部</w:t>
            </w:r>
            <w:r>
              <w:rPr>
                <w:rFonts w:hint="eastAsia" w:ascii="仿宋" w:hAnsi="仿宋" w:eastAsia="仿宋" w:cs="仿宋"/>
                <w:sz w:val="24"/>
                <w:szCs w:val="24"/>
                <w:lang w:val="en-US" w:eastAsia="zh-CN"/>
              </w:rPr>
              <w:t>标牌方案深化设计、旧标牌拆除、成品标牌制作、现场安装（含高空作业）、辅材配套、垃圾清运、调试、成品保护等全部工作。</w:t>
            </w:r>
          </w:p>
        </w:tc>
      </w:tr>
      <w:tr w14:paraId="2273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85" w:type="dxa"/>
            <w:noWrap w:val="0"/>
            <w:vAlign w:val="center"/>
          </w:tcPr>
          <w:p w14:paraId="73FBEA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1542" w:type="dxa"/>
            <w:noWrap w:val="0"/>
            <w:vAlign w:val="center"/>
          </w:tcPr>
          <w:p w14:paraId="723715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质保期</w:t>
            </w:r>
          </w:p>
        </w:tc>
        <w:tc>
          <w:tcPr>
            <w:tcW w:w="6964" w:type="dxa"/>
            <w:noWrap w:val="0"/>
            <w:vAlign w:val="center"/>
          </w:tcPr>
          <w:p w14:paraId="0460389F">
            <w:pPr>
              <w:keepNext w:val="0"/>
              <w:keepLines w:val="0"/>
              <w:suppressLineNumbers w:val="0"/>
              <w:spacing w:before="0" w:beforeAutospacing="0" w:after="0" w:afterAutospacing="0" w:line="240" w:lineRule="auto"/>
              <w:ind w:left="0" w:right="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自项目竣工验收合格之日起2年。</w:t>
            </w:r>
          </w:p>
        </w:tc>
      </w:tr>
    </w:tbl>
    <w:p w14:paraId="0F3383BC">
      <w:pPr>
        <w:spacing w:line="240" w:lineRule="auto"/>
        <w:ind w:firstLine="437"/>
        <w:outlineLvl w:val="1"/>
        <w:rPr>
          <w:rFonts w:hint="eastAsia" w:ascii="仿宋" w:hAnsi="仿宋" w:eastAsia="仿宋" w:cs="仿宋"/>
          <w:b/>
          <w:sz w:val="24"/>
          <w:szCs w:val="24"/>
        </w:rPr>
      </w:pPr>
      <w:r>
        <w:rPr>
          <w:rFonts w:hint="eastAsia" w:ascii="仿宋" w:hAnsi="仿宋" w:eastAsia="仿宋" w:cs="仿宋"/>
          <w:b/>
          <w:sz w:val="24"/>
          <w:szCs w:val="24"/>
        </w:rPr>
        <w:t>二、服务内容</w:t>
      </w:r>
    </w:p>
    <w:p w14:paraId="3E88BFF2">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rPr>
      </w:pPr>
      <w:r>
        <w:rPr>
          <w:rFonts w:hint="eastAsia" w:ascii="仿宋" w:hAnsi="仿宋" w:eastAsia="仿宋" w:cs="仿宋"/>
          <w:sz w:val="24"/>
          <w:szCs w:val="24"/>
        </w:rPr>
        <w:t>本项目对中国科学技术大学多校区现状校园导视标牌实施整体更新改造，统一校园标识视觉体系，规范中英文导视信息，兼顾日间识别与夜间可视效果。实施范围覆盖中国科学技术大学东区、中区、西区、南区、北区及采购人指定地点，标牌类型包含道路指引牌、地上楼栋信息牌、墙上楼栋信息牌、校园总览地图、地下车库入口标识牌。</w:t>
      </w:r>
    </w:p>
    <w:p w14:paraId="41E4B720">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1.标识标牌深化设计</w:t>
      </w:r>
    </w:p>
    <w:p w14:paraId="3A063CFF">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成交供应商须结合中科大校园风貌、教学科研场景、校区建筑特征，对全部点位进行现场踏勘，完成布点规划、版式规范、色彩字体规范、效果图、平立剖面、节点大样等全套深化图纸。设计方案、色彩色卡、字体样式、标牌材质小样必须报送校园管理处审核，审核通过后方可开展生产。</w:t>
      </w:r>
    </w:p>
    <w:p w14:paraId="495DABA5">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（具体分项清单详见附件）</w:t>
      </w:r>
    </w:p>
    <w:tbl>
      <w:tblPr>
        <w:tblStyle w:val="19"/>
        <w:tblW w:w="91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1894"/>
        <w:gridCol w:w="6612"/>
      </w:tblGrid>
      <w:tr w14:paraId="64ABC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85" w:type="dxa"/>
            <w:noWrap w:val="0"/>
            <w:vAlign w:val="center"/>
          </w:tcPr>
          <w:p w14:paraId="382DB86B">
            <w:pPr>
              <w:pStyle w:val="29"/>
              <w:keepNext w:val="0"/>
              <w:keepLines w:val="0"/>
              <w:pageBreakBefore w:val="0"/>
              <w:widowControl w:val="0"/>
              <w:suppressLineNumbers w:val="0"/>
              <w:pBdr>
                <w:bottom w:val="none" w:color="auto" w:sz="0" w:space="0"/>
              </w:pBdr>
              <w:tabs>
                <w:tab w:val="clear" w:pos="4153"/>
                <w:tab w:val="clear" w:pos="8306"/>
              </w:tabs>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b/>
                <w:kern w:val="2"/>
                <w:sz w:val="24"/>
                <w:szCs w:val="24"/>
              </w:rPr>
            </w:pPr>
            <w:r>
              <w:rPr>
                <w:rFonts w:hint="eastAsia" w:ascii="仿宋" w:hAnsi="仿宋" w:eastAsia="仿宋" w:cs="仿宋"/>
                <w:b/>
                <w:kern w:val="2"/>
                <w:sz w:val="24"/>
                <w:szCs w:val="24"/>
              </w:rPr>
              <w:t>序号</w:t>
            </w:r>
          </w:p>
        </w:tc>
        <w:tc>
          <w:tcPr>
            <w:tcW w:w="1894" w:type="dxa"/>
            <w:noWrap w:val="0"/>
            <w:vAlign w:val="center"/>
          </w:tcPr>
          <w:p w14:paraId="029BF258">
            <w:pPr>
              <w:pStyle w:val="27"/>
              <w:keepNext w:val="0"/>
              <w:keepLines w:val="0"/>
              <w:widowControl w:val="0"/>
              <w:suppressLineNumbers w:val="0"/>
              <w:spacing w:before="0" w:beforeAutospacing="0" w:after="0" w:afterAutospacing="0" w:line="240" w:lineRule="auto"/>
              <w:ind w:left="0" w:right="0"/>
              <w:rPr>
                <w:rFonts w:hint="eastAsia" w:ascii="仿宋" w:hAnsi="仿宋" w:eastAsia="仿宋" w:cs="仿宋"/>
                <w:bCs w:val="0"/>
                <w:sz w:val="24"/>
                <w:szCs w:val="24"/>
                <w:lang w:val="en-US" w:eastAsia="zh-CN"/>
              </w:rPr>
            </w:pPr>
            <w:r>
              <w:rPr>
                <w:rFonts w:hint="eastAsia" w:ascii="仿宋" w:hAnsi="仿宋" w:eastAsia="仿宋" w:cs="仿宋"/>
                <w:bCs w:val="0"/>
                <w:sz w:val="24"/>
                <w:szCs w:val="24"/>
                <w:lang w:val="en-US" w:eastAsia="zh-CN"/>
              </w:rPr>
              <w:t>标牌类型</w:t>
            </w:r>
          </w:p>
        </w:tc>
        <w:tc>
          <w:tcPr>
            <w:tcW w:w="6612" w:type="dxa"/>
            <w:noWrap w:val="0"/>
            <w:vAlign w:val="center"/>
          </w:tcPr>
          <w:p w14:paraId="3C6E4A15">
            <w:pPr>
              <w:pStyle w:val="27"/>
              <w:keepNext w:val="0"/>
              <w:keepLines w:val="0"/>
              <w:widowControl w:val="0"/>
              <w:suppressLineNumbers w:val="0"/>
              <w:spacing w:before="0" w:beforeAutospacing="0" w:after="0" w:afterAutospacing="0" w:line="240" w:lineRule="auto"/>
              <w:ind w:left="0" w:right="0"/>
              <w:rPr>
                <w:rFonts w:hint="eastAsia" w:ascii="仿宋" w:hAnsi="仿宋" w:eastAsia="仿宋" w:cs="仿宋"/>
                <w:bCs w:val="0"/>
                <w:sz w:val="24"/>
                <w:szCs w:val="24"/>
              </w:rPr>
            </w:pPr>
            <w:r>
              <w:rPr>
                <w:rFonts w:hint="eastAsia" w:ascii="仿宋" w:hAnsi="仿宋" w:eastAsia="仿宋" w:cs="仿宋"/>
                <w:bCs w:val="0"/>
                <w:sz w:val="24"/>
                <w:szCs w:val="24"/>
              </w:rPr>
              <w:t>内容、说明与要求</w:t>
            </w:r>
          </w:p>
        </w:tc>
      </w:tr>
      <w:tr w14:paraId="0BACA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85" w:type="dxa"/>
            <w:noWrap w:val="0"/>
            <w:vAlign w:val="center"/>
          </w:tcPr>
          <w:p w14:paraId="745CBE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4"/>
                <w:szCs w:val="24"/>
              </w:rPr>
            </w:pPr>
            <w:r>
              <w:rPr>
                <w:rFonts w:hint="eastAsia" w:ascii="仿宋" w:hAnsi="仿宋" w:eastAsia="仿宋" w:cs="仿宋"/>
                <w:sz w:val="24"/>
                <w:szCs w:val="24"/>
              </w:rPr>
              <w:t>1</w:t>
            </w:r>
          </w:p>
        </w:tc>
        <w:tc>
          <w:tcPr>
            <w:tcW w:w="1894" w:type="dxa"/>
            <w:noWrap w:val="0"/>
            <w:vAlign w:val="top"/>
          </w:tcPr>
          <w:p w14:paraId="1E9273A4">
            <w:pPr>
              <w:keepNext w:val="0"/>
              <w:keepLines w:val="0"/>
              <w:pageBreakBefore w:val="0"/>
              <w:suppressLineNumbers w:val="0"/>
              <w:tabs>
                <w:tab w:val="left" w:pos="312"/>
              </w:tabs>
              <w:kinsoku/>
              <w:overflowPunct/>
              <w:topLinePunct w:val="0"/>
              <w:autoSpaceDE/>
              <w:autoSpaceDN/>
              <w:bidi w:val="0"/>
              <w:adjustRightInd/>
              <w:snapToGrid/>
              <w:spacing w:before="0" w:beforeAutospacing="0" w:after="0" w:afterAutospacing="0" w:line="360" w:lineRule="auto"/>
              <w:ind w:left="0" w:right="0"/>
              <w:jc w:val="left"/>
              <w:rPr>
                <w:rFonts w:hint="eastAsia" w:ascii="仿宋" w:hAnsi="仿宋" w:eastAsia="仿宋" w:cs="仿宋"/>
                <w:sz w:val="24"/>
                <w:szCs w:val="24"/>
              </w:rPr>
            </w:pPr>
            <w:r>
              <w:rPr>
                <w:rFonts w:hint="eastAsia" w:ascii="仿宋" w:hAnsi="仿宋" w:eastAsia="仿宋" w:cs="仿宋"/>
                <w:sz w:val="24"/>
                <w:szCs w:val="24"/>
                <w:lang w:val="en-US" w:eastAsia="zh-CN"/>
              </w:rPr>
              <w:t>道路指引牌</w:t>
            </w:r>
          </w:p>
        </w:tc>
        <w:tc>
          <w:tcPr>
            <w:tcW w:w="6612" w:type="dxa"/>
            <w:noWrap w:val="0"/>
            <w:vAlign w:val="center"/>
          </w:tcPr>
          <w:p w14:paraId="474B6D0B">
            <w:pPr>
              <w:keepNext w:val="0"/>
              <w:keepLines w:val="0"/>
              <w:suppressLineNumbers w:val="0"/>
              <w:spacing w:before="0" w:beforeAutospacing="0" w:after="0" w:afterAutospacing="0" w:line="240" w:lineRule="auto"/>
              <w:ind w:left="0" w:right="0"/>
              <w:rPr>
                <w:rFonts w:hint="eastAsia" w:ascii="仿宋" w:hAnsi="仿宋" w:eastAsia="仿宋" w:cs="仿宋"/>
                <w:sz w:val="24"/>
                <w:szCs w:val="24"/>
              </w:rPr>
            </w:pPr>
            <w:r>
              <w:rPr>
                <w:rFonts w:hint="eastAsia" w:ascii="仿宋" w:hAnsi="仿宋" w:eastAsia="仿宋" w:cs="仿宋"/>
                <w:sz w:val="24"/>
                <w:szCs w:val="24"/>
                <w:lang w:val="en-US" w:eastAsia="zh-CN"/>
              </w:rPr>
              <w:t>校园道路户外立地导视牌，配套立杆、牌面，户外耐候设计，用于校园道路方向指引，含原有旧牌拆除换新；</w:t>
            </w:r>
          </w:p>
        </w:tc>
      </w:tr>
      <w:tr w14:paraId="5B12F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85" w:type="dxa"/>
            <w:noWrap w:val="0"/>
            <w:vAlign w:val="center"/>
          </w:tcPr>
          <w:p w14:paraId="1308D7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1894" w:type="dxa"/>
            <w:noWrap w:val="0"/>
            <w:vAlign w:val="top"/>
          </w:tcPr>
          <w:p w14:paraId="35BA86CD">
            <w:pPr>
              <w:keepNext w:val="0"/>
              <w:keepLines w:val="0"/>
              <w:pageBreakBefore w:val="0"/>
              <w:suppressLineNumbers w:val="0"/>
              <w:tabs>
                <w:tab w:val="left" w:pos="312"/>
              </w:tabs>
              <w:kinsoku/>
              <w:overflowPunct/>
              <w:topLinePunct w:val="0"/>
              <w:autoSpaceDE/>
              <w:autoSpaceDN/>
              <w:bidi w:val="0"/>
              <w:adjustRightInd/>
              <w:snapToGrid/>
              <w:spacing w:before="0" w:beforeAutospacing="0" w:after="0" w:afterAutospacing="0" w:line="360" w:lineRule="auto"/>
              <w:ind w:left="0" w:right="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地上楼栋信息牌</w:t>
            </w:r>
          </w:p>
        </w:tc>
        <w:tc>
          <w:tcPr>
            <w:tcW w:w="6612" w:type="dxa"/>
            <w:noWrap w:val="0"/>
            <w:vAlign w:val="center"/>
          </w:tcPr>
          <w:p w14:paraId="44E551B4">
            <w:pPr>
              <w:keepNext w:val="0"/>
              <w:keepLines w:val="0"/>
              <w:suppressLineNumbers w:val="0"/>
              <w:spacing w:before="0" w:beforeAutospacing="0" w:after="0" w:afterAutospacing="0" w:line="240" w:lineRule="auto"/>
              <w:ind w:left="0" w:right="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楼栋室外落地介绍标识，用于展示楼宇功能、科研单元相关信息；</w:t>
            </w:r>
          </w:p>
        </w:tc>
      </w:tr>
      <w:tr w14:paraId="68325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85" w:type="dxa"/>
            <w:noWrap w:val="0"/>
            <w:vAlign w:val="center"/>
          </w:tcPr>
          <w:p w14:paraId="4782D9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1894" w:type="dxa"/>
            <w:noWrap w:val="0"/>
            <w:vAlign w:val="top"/>
          </w:tcPr>
          <w:p w14:paraId="6EA87B97">
            <w:pPr>
              <w:keepNext w:val="0"/>
              <w:keepLines w:val="0"/>
              <w:pageBreakBefore w:val="0"/>
              <w:suppressLineNumbers w:val="0"/>
              <w:tabs>
                <w:tab w:val="left" w:pos="312"/>
              </w:tabs>
              <w:kinsoku/>
              <w:overflowPunct/>
              <w:topLinePunct w:val="0"/>
              <w:autoSpaceDE/>
              <w:autoSpaceDN/>
              <w:bidi w:val="0"/>
              <w:adjustRightInd/>
              <w:snapToGrid/>
              <w:spacing w:before="0" w:beforeAutospacing="0" w:after="0" w:afterAutospacing="0" w:line="360" w:lineRule="auto"/>
              <w:ind w:left="0" w:right="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墙上楼栋信息牌</w:t>
            </w:r>
          </w:p>
        </w:tc>
        <w:tc>
          <w:tcPr>
            <w:tcW w:w="6612" w:type="dxa"/>
            <w:noWrap w:val="0"/>
            <w:vAlign w:val="center"/>
          </w:tcPr>
          <w:p w14:paraId="63A354D8">
            <w:pPr>
              <w:keepNext w:val="0"/>
              <w:keepLines w:val="0"/>
              <w:suppressLineNumbers w:val="0"/>
              <w:spacing w:before="0" w:beforeAutospacing="0" w:after="0" w:afterAutospacing="0" w:line="240" w:lineRule="auto"/>
              <w:ind w:left="0" w:right="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楼宇外墙壁挂标识，部分点位属于高处安装，涉及高空作业；</w:t>
            </w:r>
          </w:p>
        </w:tc>
      </w:tr>
      <w:tr w14:paraId="553F8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85" w:type="dxa"/>
            <w:noWrap w:val="0"/>
            <w:vAlign w:val="center"/>
          </w:tcPr>
          <w:p w14:paraId="40A54E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c>
          <w:tcPr>
            <w:tcW w:w="1894" w:type="dxa"/>
            <w:noWrap w:val="0"/>
            <w:vAlign w:val="top"/>
          </w:tcPr>
          <w:p w14:paraId="24901529">
            <w:pPr>
              <w:keepNext w:val="0"/>
              <w:keepLines w:val="0"/>
              <w:pageBreakBefore w:val="0"/>
              <w:suppressLineNumbers w:val="0"/>
              <w:tabs>
                <w:tab w:val="left" w:pos="312"/>
              </w:tabs>
              <w:kinsoku/>
              <w:overflowPunct/>
              <w:topLinePunct w:val="0"/>
              <w:autoSpaceDE/>
              <w:autoSpaceDN/>
              <w:bidi w:val="0"/>
              <w:adjustRightInd/>
              <w:snapToGrid/>
              <w:spacing w:before="0" w:beforeAutospacing="0" w:after="0" w:afterAutospacing="0" w:line="360" w:lineRule="auto"/>
              <w:ind w:left="0" w:right="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校园总览地图</w:t>
            </w:r>
          </w:p>
        </w:tc>
        <w:tc>
          <w:tcPr>
            <w:tcW w:w="6612" w:type="dxa"/>
            <w:noWrap w:val="0"/>
            <w:vAlign w:val="top"/>
          </w:tcPr>
          <w:p w14:paraId="2C4FCFDF">
            <w:pPr>
              <w:keepNext w:val="0"/>
              <w:keepLines w:val="0"/>
              <w:pageBreakBefore w:val="0"/>
              <w:suppressLineNumbers w:val="0"/>
              <w:tabs>
                <w:tab w:val="left" w:pos="312"/>
              </w:tabs>
              <w:kinsoku/>
              <w:overflowPunct/>
              <w:topLinePunct w:val="0"/>
              <w:autoSpaceDE/>
              <w:autoSpaceDN/>
              <w:bidi w:val="0"/>
              <w:adjustRightInd/>
              <w:snapToGrid/>
              <w:spacing w:before="0" w:beforeAutospacing="0" w:after="0" w:afterAutospacing="0" w:line="360" w:lineRule="auto"/>
              <w:ind w:left="0" w:right="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大型落地立牌，展示校区建筑分布、功能点位、道路流线，服务师生及访客查阅校区整体布局；</w:t>
            </w:r>
          </w:p>
        </w:tc>
      </w:tr>
      <w:tr w14:paraId="393C0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85" w:type="dxa"/>
            <w:noWrap w:val="0"/>
            <w:vAlign w:val="center"/>
          </w:tcPr>
          <w:p w14:paraId="649CED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1894" w:type="dxa"/>
            <w:noWrap w:val="0"/>
            <w:vAlign w:val="top"/>
          </w:tcPr>
          <w:p w14:paraId="1AB84104">
            <w:pPr>
              <w:keepNext w:val="0"/>
              <w:keepLines w:val="0"/>
              <w:pageBreakBefore w:val="0"/>
              <w:suppressLineNumbers w:val="0"/>
              <w:tabs>
                <w:tab w:val="left" w:pos="312"/>
              </w:tabs>
              <w:kinsoku/>
              <w:overflowPunct/>
              <w:topLinePunct w:val="0"/>
              <w:autoSpaceDE/>
              <w:autoSpaceDN/>
              <w:bidi w:val="0"/>
              <w:adjustRightInd/>
              <w:snapToGrid/>
              <w:spacing w:before="0" w:beforeAutospacing="0" w:after="0" w:afterAutospacing="0" w:line="360" w:lineRule="auto"/>
              <w:ind w:left="0" w:right="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地下车库入口标识牌</w:t>
            </w:r>
          </w:p>
        </w:tc>
        <w:tc>
          <w:tcPr>
            <w:tcW w:w="6612" w:type="dxa"/>
            <w:noWrap w:val="0"/>
            <w:vAlign w:val="top"/>
          </w:tcPr>
          <w:p w14:paraId="48E37E5B">
            <w:pPr>
              <w:keepNext w:val="0"/>
              <w:keepLines w:val="0"/>
              <w:pageBreakBefore w:val="0"/>
              <w:suppressLineNumbers w:val="0"/>
              <w:tabs>
                <w:tab w:val="left" w:pos="312"/>
              </w:tabs>
              <w:kinsoku/>
              <w:overflowPunct/>
              <w:topLinePunct w:val="0"/>
              <w:autoSpaceDE/>
              <w:autoSpaceDN/>
              <w:bidi w:val="0"/>
              <w:adjustRightInd/>
              <w:snapToGrid/>
              <w:spacing w:before="0" w:beforeAutospacing="0" w:after="0" w:afterAutospacing="0" w:line="360" w:lineRule="auto"/>
              <w:ind w:left="0" w:right="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车库出入口导视标牌，户外使用，具备抗老化、夜间识别功能。</w:t>
            </w:r>
          </w:p>
        </w:tc>
      </w:tr>
    </w:tbl>
    <w:p w14:paraId="7BEA8A03">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 旧标牌拆除与清运。对原有老旧、破损标牌进行拆除，拆除作业做好成品保护，避免损伤墙体、路面、绿化。拆除产生的废旧标牌、建筑垃圾由成交供应商全部清运出场，校园内不得堆放废弃物，做到工完场清。</w:t>
      </w:r>
    </w:p>
    <w:p w14:paraId="7D2CDB95">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 标牌制作与运输。按照审核确认的图纸、材质、工艺进行标牌生产制作，所有标牌成品运输、卸货保护工作均由成交供应商负责。</w:t>
      </w:r>
    </w:p>
    <w:p w14:paraId="49203D8F">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 现场安装施工。包含基础施工、立杆安装、壁挂固定、外立面高空安装、结构加固、配套辅材施工。高空作业点位须编制专项安全施工方案，优先选取低人流时段施工，最大限度降低施工对教学、科研秩序以及校园通行的干扰。</w:t>
      </w:r>
    </w:p>
    <w:p w14:paraId="183A5E40">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 验收、质保与维保服务。项目完工后60日内完成现场竣工验收；质保期2年，质保期内提供故障维修、破损标牌更换等维保服务；质保期满后，提供优惠维保方案及备品备件保障方案。</w:t>
      </w:r>
    </w:p>
    <w:p w14:paraId="3DBE6ECD">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 知识产权。成交供应商为本项目产出的全部设计图纸、效果图、标牌成果，采购人享有永久无偿使用权，供应商须承诺本项目成果不存在任何第三方知识产权侵权纠纷。</w:t>
      </w:r>
    </w:p>
    <w:p w14:paraId="166BECA6">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 其他管理要求。所有进场施工人员须遵守校园门禁、安全管理规定，进校人员信息按学校要求报备；施工全过程服从校园管理处现场调度。本项目严禁转包，非主体部分分包须提前向采购人书面报备。</w:t>
      </w:r>
    </w:p>
    <w:p w14:paraId="1F623D50">
      <w:pPr>
        <w:spacing w:line="240" w:lineRule="auto"/>
        <w:ind w:firstLine="437"/>
        <w:outlineLvl w:val="1"/>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三、技术与材质要求</w:t>
      </w:r>
    </w:p>
    <w:p w14:paraId="09857438">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 整体视觉规范要求。标识系统风格统一，版式规范，采用中英文双语（须经采购人审核），信息准确无误；统一字体、色卡、材质标准，适配中科大校园庄重严谨的科研校园气质。户外标牌适配合肥本地气候条件，具备抗紫外线、防褪色、防潮防锈、抗风能力，结构安全可靠。</w:t>
      </w:r>
    </w:p>
    <w:p w14:paraId="268801AD">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 分类标牌技术要求</w:t>
      </w:r>
    </w:p>
    <w:p w14:paraId="66B40F52">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落地类标牌（道路指引牌、校园总览地图、地上楼栋信息牌）：基础结构稳固，抗风验算满足合肥地区风荷载标准；板面耐候，长期户外暴晒不出现起皮、严重褪色、变形。校园总览地图需保证地图信息准确，点位标注清晰，兼顾大视角远距离识别。</w:t>
      </w:r>
    </w:p>
    <w:p w14:paraId="62447362">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（2）壁挂类标牌（墙上楼栋信息牌）：外立面高处标牌须出具结构安全验算报告，做好抗风、防脱落设计；墙体固定方案不得破坏建筑主体结构，高空安装严格执行国家高处作业安全规范。</w:t>
      </w:r>
    </w:p>
    <w:p w14:paraId="4F9DC0D6">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（3）地下车库入口标识牌：耐潮湿、耐温差，具备夜间可视效果，反光/背光方案需满足车库光线环境识别需求。</w:t>
      </w:r>
    </w:p>
    <w:p w14:paraId="2B9BB8AB">
      <w:pPr>
        <w:keepNext w:val="0"/>
        <w:keepLines w:val="0"/>
        <w:pageBreakBefore w:val="0"/>
        <w:widowControl/>
        <w:numPr>
          <w:ilvl w:val="-1"/>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left="0" w:leftChars="0" w:right="0" w:rightChars="0" w:firstLine="438" w:firstLineChars="200"/>
        <w:jc w:val="left"/>
        <w:textAlignment w:val="auto"/>
        <w:rPr>
          <w:rFonts w:hint="eastAsia" w:ascii="仿宋" w:hAnsi="仿宋" w:eastAsia="仿宋" w:cs="仿宋"/>
          <w:b w:val="0"/>
          <w:kern w:val="0"/>
          <w:sz w:val="24"/>
          <w:szCs w:val="24"/>
          <w:lang w:val="en-US" w:eastAsia="zh-CN"/>
        </w:rPr>
      </w:pPr>
      <w:r>
        <w:rPr>
          <w:rFonts w:hint="eastAsia" w:ascii="仿宋" w:hAnsi="仿宋" w:eastAsia="仿宋" w:cs="仿宋"/>
          <w:sz w:val="24"/>
          <w:szCs w:val="24"/>
          <w:lang w:val="en-US" w:eastAsia="zh-CN"/>
        </w:rPr>
        <w:t>3. 材料与工艺标准。所有原材料、板材、型材、表面处理工艺须符合国家现行相关规范标准，进场材料需提供产品合格证。标牌金属构件做好防腐防锈处理；户外标牌表面漆面、膜层质保期内不得出现开裂、脱落、大面积褪色。</w:t>
      </w:r>
      <w:r>
        <w:rPr>
          <w:rFonts w:hint="eastAsia" w:ascii="仿宋" w:hAnsi="仿宋" w:eastAsia="仿宋" w:cs="仿宋"/>
          <w:b w:val="0"/>
          <w:kern w:val="0"/>
          <w:sz w:val="24"/>
          <w:szCs w:val="24"/>
          <w:highlight w:val="yellow"/>
          <w:lang w:val="en-US" w:eastAsia="zh-CN"/>
        </w:rPr>
        <w:t>对供应商响应的材质及工艺要求参照以下为标配型号，不接受负偏离：金属板材采用201不锈钢实厚1.2毫米，保证板材平整度；油漆底漆2遍、面漆1遍；丝印抗紫外线固化，2年内不脱色；亚克力材质厚度不低于5毫米；立体字体采用201不锈钢1.2毫米厚度，激光焊接、精工打磨、电镀或烤漆上色。</w:t>
      </w:r>
    </w:p>
    <w:p w14:paraId="63E66B46">
      <w:pPr>
        <w:spacing w:line="240" w:lineRule="auto"/>
        <w:ind w:firstLine="437"/>
        <w:outlineLvl w:val="1"/>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四、施工与安全作业要求</w:t>
      </w:r>
    </w:p>
    <w:p w14:paraId="7E34B809">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 方案报批：成交供应商所有深化设计图纸、施工组织方案、高空作业专项安全方案，须经采购人审核确认后方可进场实施。</w:t>
      </w:r>
    </w:p>
    <w:p w14:paraId="36DCC87C">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 人员资质要求：高空作业人员必须持有有效的特种作业（高处作业）证书；现场项目负责人、安装管理人员须配置到位。</w:t>
      </w:r>
    </w:p>
    <w:p w14:paraId="1DA79D3B">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 现场安全责任：成交供应商对施工现场安全负全部责任，高空作业须落实安全防护、现场警戒隔离措施。作业期间如发生人员伤害、校园财物损坏等各类事故，全部赔偿责任由成交供应商承担。供应商须为本项目作业人员购买意外险，落实安全保险保障。</w:t>
      </w:r>
    </w:p>
    <w:p w14:paraId="38210BCA">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 成品保护：施工过程做好建筑外立面、路面、绿化、管线、门窗等原有校园设施成品保护，施工造成校园设施损坏，成交供应商须无偿修复或赔偿。</w:t>
      </w:r>
    </w:p>
    <w:p w14:paraId="1947E422">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 文明施工管理：施工分段分区实施，合理安排作业窗口期，严控施工噪声；材料、工具有序堆放，不得占用消防通道、主要人行通道。运输车辆入校遵守校园限速规定，避开上下课、用餐人流高峰。</w:t>
      </w:r>
    </w:p>
    <w:p w14:paraId="220B7973">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 垃圾清运：拆除旧标牌、施工垃圾全部由成交供应商清运出校园，不得随意丢弃、就地堆放，清运费用全部包含在包干报价内。</w:t>
      </w:r>
    </w:p>
    <w:p w14:paraId="3F3315EC">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 施工手续：进场施工相关报备手续由成交供应商负责办理，相关费用自行承担。</w:t>
      </w:r>
    </w:p>
    <w:p w14:paraId="3333C918">
      <w:pPr>
        <w:spacing w:line="240" w:lineRule="auto"/>
        <w:ind w:firstLine="437"/>
        <w:outlineLvl w:val="1"/>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五、验收、质保及售后要求</w:t>
      </w:r>
    </w:p>
    <w:p w14:paraId="7DB6ED9A">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 竣工验收：全部点位安装及调试完成后60日内，成交供应商提交竣工图纸、材料合格证等竣工资料，采购人组织现场验收，对照点位清单、图纸逐项核验。验收不合格的，成交供应商须无偿整改，直至验收合格。</w:t>
      </w:r>
    </w:p>
    <w:p w14:paraId="13E18798">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 质保服务：质保期自竣工验收合格之日起2年。质保期内标牌出现褪色、变形、开裂、松动、脱落、板面损坏等质量问题，成交供应商须24小时响应，48小时内到场维修或更换，全部费用由成交供应商承担。</w:t>
      </w:r>
    </w:p>
    <w:p w14:paraId="18E2568B">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 巡检与报告：质保期内成交供应商应定期开展现场巡检，发现隐患提前处置；采购人可随时抽查标牌运行状态。</w:t>
      </w:r>
    </w:p>
    <w:p w14:paraId="3A0D532F">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 故障及投诉管理：师生、管理部门反馈标牌损坏、安装隐患等问题，成交供应商须及时响应处置。施工期间发生扰民、现场违规问题，采购人有权按合同约定计取违约金。</w:t>
      </w:r>
    </w:p>
    <w:p w14:paraId="11761A60">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 质保期满服务：质保期结束后，成交供应商须向采购人提供优惠维保报价方案、备品备件清单，便于后期标牌维修更换。</w:t>
      </w:r>
    </w:p>
    <w:p w14:paraId="0094D903">
      <w:pPr>
        <w:spacing w:line="240" w:lineRule="auto"/>
        <w:ind w:firstLine="437"/>
        <w:outlineLvl w:val="1"/>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六、其他要求</w:t>
      </w:r>
    </w:p>
    <w:p w14:paraId="2B9E6967">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 采购人有权对项目施工质量、现场安全、服务情况进行监督、抽查，提出整改要求，成交供应商须配合落实。</w:t>
      </w:r>
    </w:p>
    <w:p w14:paraId="5D77278A">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 成交供应商不得在标牌板面、配套构件上增加商业广告；标识内容仅保留校园导视、安全提示相关信息。</w:t>
      </w:r>
    </w:p>
    <w:p w14:paraId="22BE5176">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 逾期完工按合同约定计取逾期违约金；因施工、标牌质量、安全问题造成师生投诉、安全隐患，采购人有权依据合同追责。</w:t>
      </w:r>
    </w:p>
    <w:p w14:paraId="486E62DF">
      <w:pPr>
        <w:spacing w:line="240" w:lineRule="auto"/>
        <w:ind w:firstLine="437"/>
        <w:outlineLvl w:val="1"/>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七、考核管理要求</w:t>
      </w:r>
    </w:p>
    <w:p w14:paraId="5CCC4ED7">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 出现下列情形之一的，采购人有权按合同约定追究违约责任，情节严重的可解除合同：</w:t>
      </w:r>
    </w:p>
    <w:p w14:paraId="31D9F314">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（1）高空作业、消防安全检查不合格，逾期拒不整改或整改不到位；</w:t>
      </w:r>
    </w:p>
    <w:p w14:paraId="3D617A35">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（2）标牌出现大面积损坏、脱落，接到整改通知后拒不修复，影响校园通行安全；</w:t>
      </w:r>
    </w:p>
    <w:p w14:paraId="07B03C60">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（3）擅自转包本项目；</w:t>
      </w:r>
    </w:p>
    <w:p w14:paraId="3B8149EA">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（4）施工造成重大校园设施损坏、发生安全责任事故，对校园教学科研造成严重不良影响；</w:t>
      </w:r>
    </w:p>
    <w:p w14:paraId="20B700A5">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（5）其他严重违反合同、磋商文件约定的情形。</w:t>
      </w:r>
    </w:p>
    <w:p w14:paraId="53451C09">
      <w:pPr>
        <w:pageBreakBefore w:val="0"/>
        <w:tabs>
          <w:tab w:val="left" w:pos="312"/>
        </w:tabs>
        <w:kinsoku/>
        <w:overflowPunct/>
        <w:topLinePunct w:val="0"/>
        <w:autoSpaceDE/>
        <w:autoSpaceDN/>
        <w:bidi w:val="0"/>
        <w:adjustRightInd/>
        <w:snapToGrid/>
        <w:spacing w:line="360" w:lineRule="auto"/>
        <w:ind w:firstLine="438"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 过程管理考核。采购人对项目实施全过程开展监督考核，主要考核维度包含：图纸方案报审时效、现场文明施工、安全管理、问题响应速度、整改落实情况。</w:t>
      </w:r>
    </w:p>
    <w:p w14:paraId="47BFEEF5">
      <w:pPr>
        <w:rPr>
          <w:rFonts w:hint="eastAsia" w:ascii="仿宋" w:hAnsi="仿宋" w:eastAsia="仿宋" w:cs="仿宋"/>
          <w:color w:val="auto"/>
          <w:highlight w:val="none"/>
        </w:rPr>
      </w:pPr>
      <w:bookmarkStart w:id="622" w:name="_Toc13521"/>
      <w:r>
        <w:rPr>
          <w:rFonts w:hint="eastAsia" w:ascii="仿宋" w:hAnsi="仿宋" w:eastAsia="仿宋" w:cs="仿宋"/>
          <w:color w:val="auto"/>
          <w:highlight w:val="none"/>
        </w:rPr>
        <w:br w:type="page"/>
      </w:r>
    </w:p>
    <w:p w14:paraId="752B225D">
      <w:pPr>
        <w:pStyle w:val="2"/>
        <w:widowControl/>
        <w:snapToGrid w:val="0"/>
        <w:spacing w:line="360" w:lineRule="auto"/>
        <w:jc w:val="center"/>
        <w:rPr>
          <w:rFonts w:hint="eastAsia" w:ascii="仿宋" w:hAnsi="仿宋" w:eastAsia="仿宋" w:cs="仿宋"/>
          <w:b/>
          <w:color w:val="auto"/>
          <w:sz w:val="28"/>
          <w:highlight w:val="none"/>
        </w:rPr>
      </w:pPr>
      <w:r>
        <w:rPr>
          <w:rFonts w:hint="eastAsia" w:ascii="仿宋" w:hAnsi="仿宋" w:eastAsia="仿宋" w:cs="仿宋"/>
          <w:color w:val="auto"/>
          <w:highlight w:val="none"/>
        </w:rPr>
        <w:t>第四章  磋商和评审办法</w:t>
      </w:r>
      <w:bookmarkEnd w:id="622"/>
    </w:p>
    <w:p w14:paraId="49161ECF">
      <w:pPr>
        <w:pStyle w:val="37"/>
        <w:adjustRightInd w:val="0"/>
        <w:snapToGrid w:val="0"/>
        <w:spacing w:before="0" w:line="360" w:lineRule="auto"/>
        <w:ind w:firstLine="438" w:firstLineChars="200"/>
        <w:rPr>
          <w:rFonts w:hint="eastAsia" w:ascii="仿宋" w:hAnsi="仿宋" w:eastAsia="仿宋" w:cs="仿宋"/>
          <w:b/>
          <w:i/>
          <w:color w:val="auto"/>
          <w:sz w:val="24"/>
          <w:szCs w:val="24"/>
          <w:highlight w:val="none"/>
        </w:rPr>
      </w:pPr>
      <w:r>
        <w:rPr>
          <w:rFonts w:hint="eastAsia" w:ascii="仿宋" w:hAnsi="仿宋" w:eastAsia="仿宋" w:cs="仿宋"/>
          <w:b/>
          <w:color w:val="auto"/>
          <w:sz w:val="24"/>
          <w:szCs w:val="24"/>
          <w:highlight w:val="none"/>
        </w:rPr>
        <w:t>1. 符合性审查标准</w:t>
      </w:r>
    </w:p>
    <w:tbl>
      <w:tblPr>
        <w:tblStyle w:val="19"/>
        <w:tblW w:w="96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7"/>
        <w:gridCol w:w="877"/>
        <w:gridCol w:w="1843"/>
        <w:gridCol w:w="4225"/>
        <w:gridCol w:w="1843"/>
      </w:tblGrid>
      <w:tr w14:paraId="47B68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77" w:type="dxa"/>
            <w:noWrap/>
            <w:vAlign w:val="center"/>
          </w:tcPr>
          <w:p w14:paraId="41BBB412">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条款号</w:t>
            </w:r>
          </w:p>
        </w:tc>
        <w:tc>
          <w:tcPr>
            <w:tcW w:w="877" w:type="dxa"/>
            <w:noWrap/>
            <w:vAlign w:val="center"/>
          </w:tcPr>
          <w:p w14:paraId="2DAE4F3A">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评审项</w:t>
            </w:r>
          </w:p>
        </w:tc>
        <w:tc>
          <w:tcPr>
            <w:tcW w:w="1843" w:type="dxa"/>
            <w:noWrap/>
            <w:vAlign w:val="center"/>
          </w:tcPr>
          <w:p w14:paraId="02081844">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评审因素</w:t>
            </w:r>
          </w:p>
        </w:tc>
        <w:tc>
          <w:tcPr>
            <w:tcW w:w="4225" w:type="dxa"/>
            <w:noWrap/>
            <w:vAlign w:val="center"/>
          </w:tcPr>
          <w:p w14:paraId="68062CD3">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评审标准</w:t>
            </w:r>
          </w:p>
        </w:tc>
        <w:tc>
          <w:tcPr>
            <w:tcW w:w="1843" w:type="dxa"/>
            <w:noWrap/>
            <w:vAlign w:val="center"/>
          </w:tcPr>
          <w:p w14:paraId="06B4D060">
            <w:pPr>
              <w:keepNext w:val="0"/>
              <w:keepLines w:val="0"/>
              <w:widowControl/>
              <w:suppressLineNumbers w:val="0"/>
              <w:spacing w:before="0" w:beforeAutospacing="0" w:after="0" w:afterAutospacing="0"/>
              <w:ind w:left="0" w:right="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备注</w:t>
            </w:r>
          </w:p>
        </w:tc>
      </w:tr>
      <w:tr w14:paraId="0FB57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77" w:type="dxa"/>
            <w:vMerge w:val="restart"/>
            <w:noWrap/>
            <w:vAlign w:val="center"/>
          </w:tcPr>
          <w:p w14:paraId="71350645">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3.1.1</w:t>
            </w:r>
          </w:p>
        </w:tc>
        <w:tc>
          <w:tcPr>
            <w:tcW w:w="877" w:type="dxa"/>
            <w:vMerge w:val="restart"/>
            <w:noWrap/>
            <w:vAlign w:val="center"/>
          </w:tcPr>
          <w:p w14:paraId="4BC0246D">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形式评审</w:t>
            </w:r>
          </w:p>
        </w:tc>
        <w:tc>
          <w:tcPr>
            <w:tcW w:w="1843" w:type="dxa"/>
            <w:noWrap/>
            <w:vAlign w:val="center"/>
          </w:tcPr>
          <w:p w14:paraId="7726A948">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供应商名称</w:t>
            </w:r>
          </w:p>
        </w:tc>
        <w:tc>
          <w:tcPr>
            <w:tcW w:w="4225" w:type="dxa"/>
            <w:noWrap/>
            <w:vAlign w:val="center"/>
          </w:tcPr>
          <w:p w14:paraId="217C7A36">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与营业执照一致</w:t>
            </w:r>
          </w:p>
        </w:tc>
        <w:tc>
          <w:tcPr>
            <w:tcW w:w="1843" w:type="dxa"/>
            <w:noWrap/>
            <w:vAlign w:val="center"/>
          </w:tcPr>
          <w:p w14:paraId="23344BAF">
            <w:pPr>
              <w:keepNext w:val="0"/>
              <w:keepLines w:val="0"/>
              <w:widowControl/>
              <w:suppressLineNumbers w:val="0"/>
              <w:spacing w:before="0" w:beforeAutospacing="0" w:after="0" w:afterAutospacing="0"/>
              <w:ind w:left="0" w:right="0"/>
              <w:rPr>
                <w:rFonts w:hint="eastAsia" w:ascii="仿宋" w:hAnsi="仿宋" w:eastAsia="仿宋" w:cs="仿宋"/>
                <w:color w:val="auto"/>
                <w:kern w:val="0"/>
                <w:sz w:val="24"/>
                <w:szCs w:val="24"/>
                <w:highlight w:val="none"/>
              </w:rPr>
            </w:pPr>
          </w:p>
        </w:tc>
      </w:tr>
      <w:tr w14:paraId="39DCA7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77" w:type="dxa"/>
            <w:vMerge w:val="continue"/>
            <w:noWrap/>
            <w:vAlign w:val="center"/>
          </w:tcPr>
          <w:p w14:paraId="2758C71D">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877" w:type="dxa"/>
            <w:vMerge w:val="continue"/>
            <w:noWrap/>
            <w:vAlign w:val="center"/>
          </w:tcPr>
          <w:p w14:paraId="147E75E5">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1843" w:type="dxa"/>
            <w:noWrap/>
            <w:vAlign w:val="center"/>
          </w:tcPr>
          <w:p w14:paraId="0723CE5F">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响应文件签署</w:t>
            </w:r>
          </w:p>
        </w:tc>
        <w:tc>
          <w:tcPr>
            <w:tcW w:w="4225" w:type="dxa"/>
            <w:noWrap/>
            <w:vAlign w:val="center"/>
          </w:tcPr>
          <w:p w14:paraId="0BC898B5">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响应文件签字盖章符合磋商文件规定</w:t>
            </w:r>
          </w:p>
        </w:tc>
        <w:tc>
          <w:tcPr>
            <w:tcW w:w="1843" w:type="dxa"/>
            <w:noWrap/>
            <w:vAlign w:val="center"/>
          </w:tcPr>
          <w:p w14:paraId="21A76ED2">
            <w:pPr>
              <w:keepNext w:val="0"/>
              <w:keepLines w:val="0"/>
              <w:widowControl/>
              <w:suppressLineNumbers w:val="0"/>
              <w:spacing w:before="0" w:beforeAutospacing="0" w:after="0" w:afterAutospacing="0"/>
              <w:ind w:left="0" w:right="0"/>
              <w:rPr>
                <w:rFonts w:hint="eastAsia" w:ascii="仿宋" w:hAnsi="仿宋" w:eastAsia="仿宋" w:cs="仿宋"/>
                <w:color w:val="auto"/>
                <w:kern w:val="0"/>
                <w:sz w:val="24"/>
                <w:szCs w:val="24"/>
                <w:highlight w:val="none"/>
              </w:rPr>
            </w:pPr>
          </w:p>
        </w:tc>
      </w:tr>
      <w:tr w14:paraId="2EE4D9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77" w:type="dxa"/>
            <w:vMerge w:val="continue"/>
            <w:noWrap/>
            <w:vAlign w:val="center"/>
          </w:tcPr>
          <w:p w14:paraId="4F9A28F0">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877" w:type="dxa"/>
            <w:vMerge w:val="continue"/>
            <w:noWrap/>
            <w:vAlign w:val="center"/>
          </w:tcPr>
          <w:p w14:paraId="602E6E67">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1843" w:type="dxa"/>
            <w:noWrap/>
            <w:vAlign w:val="center"/>
          </w:tcPr>
          <w:p w14:paraId="24F326B7">
            <w:pPr>
              <w:keepNext w:val="0"/>
              <w:keepLines w:val="0"/>
              <w:suppressLineNumbers w:val="0"/>
              <w:spacing w:before="0" w:beforeAutospacing="0" w:after="0" w:afterAutospacing="0" w:line="24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法定代表人（单位负责人）身份证明及授权委托书</w:t>
            </w:r>
          </w:p>
        </w:tc>
        <w:tc>
          <w:tcPr>
            <w:tcW w:w="4225" w:type="dxa"/>
            <w:noWrap/>
            <w:vAlign w:val="center"/>
          </w:tcPr>
          <w:p w14:paraId="30E9CEC4">
            <w:pPr>
              <w:keepNext w:val="0"/>
              <w:keepLines w:val="0"/>
              <w:suppressLineNumbers w:val="0"/>
              <w:spacing w:before="0" w:beforeAutospacing="0" w:after="0" w:afterAutospacing="0" w:line="240" w:lineRule="exact"/>
              <w:ind w:left="0" w:right="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法定代表人（单位负责人）身份证明及授权委托书符合磋商文件规定的格式，按规定格式签字盖章</w:t>
            </w:r>
          </w:p>
        </w:tc>
        <w:tc>
          <w:tcPr>
            <w:tcW w:w="1843" w:type="dxa"/>
            <w:noWrap/>
            <w:vAlign w:val="center"/>
          </w:tcPr>
          <w:p w14:paraId="767C4B0F">
            <w:pPr>
              <w:keepNext w:val="0"/>
              <w:keepLines w:val="0"/>
              <w:widowControl/>
              <w:suppressLineNumbers w:val="0"/>
              <w:spacing w:before="0" w:beforeAutospacing="0" w:after="0" w:afterAutospacing="0"/>
              <w:ind w:left="0" w:right="0"/>
              <w:rPr>
                <w:rFonts w:hint="eastAsia" w:ascii="仿宋" w:hAnsi="仿宋" w:eastAsia="仿宋" w:cs="仿宋"/>
                <w:color w:val="auto"/>
                <w:kern w:val="0"/>
                <w:sz w:val="24"/>
                <w:szCs w:val="24"/>
                <w:highlight w:val="none"/>
              </w:rPr>
            </w:pPr>
          </w:p>
        </w:tc>
      </w:tr>
      <w:tr w14:paraId="5D9FAE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77" w:type="dxa"/>
            <w:vMerge w:val="continue"/>
            <w:noWrap/>
            <w:vAlign w:val="center"/>
          </w:tcPr>
          <w:p w14:paraId="043CA75C">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877" w:type="dxa"/>
            <w:vMerge w:val="continue"/>
            <w:noWrap/>
            <w:vAlign w:val="center"/>
          </w:tcPr>
          <w:p w14:paraId="2A56322A">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1843" w:type="dxa"/>
            <w:noWrap/>
            <w:vAlign w:val="center"/>
          </w:tcPr>
          <w:p w14:paraId="27486AD8">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响应文件格式</w:t>
            </w:r>
          </w:p>
        </w:tc>
        <w:tc>
          <w:tcPr>
            <w:tcW w:w="4225" w:type="dxa"/>
            <w:noWrap/>
            <w:vAlign w:val="center"/>
          </w:tcPr>
          <w:p w14:paraId="2E603E98">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符合磋商文件给定格式要求，实质性内容齐全，关键内容、字迹清晰可辨</w:t>
            </w:r>
          </w:p>
        </w:tc>
        <w:tc>
          <w:tcPr>
            <w:tcW w:w="1843" w:type="dxa"/>
            <w:noWrap/>
            <w:vAlign w:val="center"/>
          </w:tcPr>
          <w:p w14:paraId="7ED56F03">
            <w:pPr>
              <w:keepNext w:val="0"/>
              <w:keepLines w:val="0"/>
              <w:widowControl/>
              <w:suppressLineNumbers w:val="0"/>
              <w:spacing w:before="0" w:beforeAutospacing="0" w:after="0" w:afterAutospacing="0"/>
              <w:ind w:left="0" w:right="0"/>
              <w:rPr>
                <w:rFonts w:hint="eastAsia" w:ascii="仿宋" w:hAnsi="仿宋" w:eastAsia="仿宋" w:cs="仿宋"/>
                <w:color w:val="auto"/>
                <w:kern w:val="0"/>
                <w:sz w:val="24"/>
                <w:szCs w:val="24"/>
                <w:highlight w:val="none"/>
              </w:rPr>
            </w:pPr>
          </w:p>
        </w:tc>
      </w:tr>
      <w:tr w14:paraId="0C95D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77" w:type="dxa"/>
            <w:vMerge w:val="continue"/>
            <w:noWrap/>
            <w:vAlign w:val="center"/>
          </w:tcPr>
          <w:p w14:paraId="20BA6ED1">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877" w:type="dxa"/>
            <w:vMerge w:val="continue"/>
            <w:noWrap/>
            <w:vAlign w:val="center"/>
          </w:tcPr>
          <w:p w14:paraId="4F4639B3">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1843" w:type="dxa"/>
            <w:noWrap/>
            <w:vAlign w:val="center"/>
          </w:tcPr>
          <w:p w14:paraId="139FFB8D">
            <w:pPr>
              <w:keepNext w:val="0"/>
              <w:keepLines w:val="0"/>
              <w:widowControl/>
              <w:suppressLineNumbers w:val="0"/>
              <w:spacing w:before="0" w:beforeAutospacing="0" w:after="0" w:afterAutospacing="0"/>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承诺函格式及内容</w:t>
            </w:r>
          </w:p>
        </w:tc>
        <w:tc>
          <w:tcPr>
            <w:tcW w:w="4225" w:type="dxa"/>
            <w:noWrap/>
            <w:vAlign w:val="center"/>
          </w:tcPr>
          <w:p w14:paraId="3E6B3A6B">
            <w:pPr>
              <w:keepNext w:val="0"/>
              <w:keepLines w:val="0"/>
              <w:widowControl/>
              <w:suppressLineNumbers w:val="0"/>
              <w:spacing w:before="0" w:beforeAutospacing="0" w:after="0" w:afterAutospacing="0"/>
              <w:ind w:left="0" w:right="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应符合磋商文件的要求。</w:t>
            </w:r>
          </w:p>
        </w:tc>
        <w:tc>
          <w:tcPr>
            <w:tcW w:w="1843" w:type="dxa"/>
            <w:noWrap/>
            <w:vAlign w:val="center"/>
          </w:tcPr>
          <w:p w14:paraId="6737C03E">
            <w:pPr>
              <w:keepNext w:val="0"/>
              <w:keepLines w:val="0"/>
              <w:widowControl/>
              <w:suppressLineNumbers w:val="0"/>
              <w:spacing w:before="0" w:beforeAutospacing="0" w:after="0" w:afterAutospacing="0"/>
              <w:ind w:left="0" w:right="0"/>
              <w:rPr>
                <w:rFonts w:hint="eastAsia" w:ascii="仿宋" w:hAnsi="仿宋" w:eastAsia="仿宋" w:cs="仿宋"/>
                <w:color w:val="auto"/>
                <w:kern w:val="0"/>
                <w:sz w:val="24"/>
                <w:szCs w:val="24"/>
                <w:highlight w:val="none"/>
              </w:rPr>
            </w:pPr>
          </w:p>
        </w:tc>
      </w:tr>
      <w:tr w14:paraId="05D4E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77" w:type="dxa"/>
            <w:vMerge w:val="continue"/>
            <w:noWrap/>
            <w:vAlign w:val="center"/>
          </w:tcPr>
          <w:p w14:paraId="13AC202D">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877" w:type="dxa"/>
            <w:vMerge w:val="continue"/>
            <w:noWrap/>
            <w:vAlign w:val="center"/>
          </w:tcPr>
          <w:p w14:paraId="46F868CF">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1843" w:type="dxa"/>
            <w:noWrap/>
            <w:vAlign w:val="center"/>
          </w:tcPr>
          <w:p w14:paraId="15428F87">
            <w:pPr>
              <w:keepNext w:val="0"/>
              <w:keepLines w:val="0"/>
              <w:widowControl/>
              <w:suppressLineNumbers w:val="0"/>
              <w:spacing w:before="0" w:beforeAutospacing="0" w:after="0" w:afterAutospacing="0"/>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未出现异常情形</w:t>
            </w:r>
          </w:p>
        </w:tc>
        <w:tc>
          <w:tcPr>
            <w:tcW w:w="4225" w:type="dxa"/>
            <w:noWrap/>
            <w:vAlign w:val="center"/>
          </w:tcPr>
          <w:p w14:paraId="59B0493A">
            <w:pPr>
              <w:keepNext w:val="0"/>
              <w:keepLines w:val="0"/>
              <w:widowControl/>
              <w:suppressLineNumbers w:val="0"/>
              <w:spacing w:before="0" w:beforeAutospacing="0" w:after="0" w:afterAutospacing="0"/>
              <w:ind w:left="0" w:right="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不同投标人未出现使用相同的投标文件制作机器识别码进行投标的情形</w:t>
            </w:r>
          </w:p>
        </w:tc>
        <w:tc>
          <w:tcPr>
            <w:tcW w:w="1843" w:type="dxa"/>
            <w:noWrap/>
            <w:vAlign w:val="center"/>
          </w:tcPr>
          <w:p w14:paraId="229DE4B8">
            <w:pPr>
              <w:keepNext w:val="0"/>
              <w:keepLines w:val="0"/>
              <w:widowControl/>
              <w:suppressLineNumbers w:val="0"/>
              <w:spacing w:before="0" w:beforeAutospacing="0" w:after="0" w:afterAutospacing="0"/>
              <w:ind w:left="0" w:right="0"/>
              <w:rPr>
                <w:rFonts w:hint="eastAsia" w:ascii="仿宋" w:hAnsi="仿宋" w:eastAsia="仿宋" w:cs="仿宋"/>
                <w:color w:val="auto"/>
                <w:kern w:val="0"/>
                <w:sz w:val="24"/>
                <w:szCs w:val="24"/>
                <w:highlight w:val="none"/>
              </w:rPr>
            </w:pPr>
          </w:p>
        </w:tc>
      </w:tr>
      <w:tr w14:paraId="29154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hRule="atLeast"/>
          <w:jc w:val="center"/>
        </w:trPr>
        <w:tc>
          <w:tcPr>
            <w:tcW w:w="877" w:type="dxa"/>
            <w:vMerge w:val="continue"/>
            <w:noWrap/>
            <w:vAlign w:val="center"/>
          </w:tcPr>
          <w:p w14:paraId="19C31497">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877" w:type="dxa"/>
            <w:vMerge w:val="continue"/>
            <w:noWrap/>
            <w:vAlign w:val="center"/>
          </w:tcPr>
          <w:p w14:paraId="359D143D">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1843" w:type="dxa"/>
            <w:noWrap/>
            <w:vAlign w:val="center"/>
          </w:tcPr>
          <w:p w14:paraId="3BA41AE4">
            <w:pPr>
              <w:keepNext w:val="0"/>
              <w:keepLines w:val="0"/>
              <w:widowControl/>
              <w:suppressLineNumbers w:val="0"/>
              <w:spacing w:before="0" w:beforeAutospacing="0" w:after="0" w:afterAutospacing="0"/>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w:t>
            </w:r>
          </w:p>
        </w:tc>
        <w:tc>
          <w:tcPr>
            <w:tcW w:w="4225" w:type="dxa"/>
            <w:noWrap/>
            <w:vAlign w:val="center"/>
          </w:tcPr>
          <w:p w14:paraId="6E7F2D93">
            <w:pPr>
              <w:keepNext w:val="0"/>
              <w:keepLines w:val="0"/>
              <w:suppressLineNumbers w:val="0"/>
              <w:spacing w:before="0" w:beforeAutospacing="0" w:after="0" w:afterAutospacing="0" w:line="0" w:lineRule="atLeast"/>
              <w:ind w:left="0" w:right="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磋商文件其他实质性要求</w:t>
            </w:r>
          </w:p>
        </w:tc>
        <w:tc>
          <w:tcPr>
            <w:tcW w:w="1843" w:type="dxa"/>
            <w:noWrap/>
            <w:vAlign w:val="center"/>
          </w:tcPr>
          <w:p w14:paraId="17117172">
            <w:pPr>
              <w:keepNext w:val="0"/>
              <w:keepLines w:val="0"/>
              <w:widowControl/>
              <w:suppressLineNumbers w:val="0"/>
              <w:spacing w:before="0" w:beforeAutospacing="0" w:after="0" w:afterAutospacing="0"/>
              <w:ind w:left="0" w:right="0"/>
              <w:rPr>
                <w:rFonts w:hint="eastAsia" w:ascii="仿宋" w:hAnsi="仿宋" w:eastAsia="仿宋" w:cs="仿宋"/>
                <w:color w:val="auto"/>
                <w:kern w:val="0"/>
                <w:sz w:val="24"/>
                <w:szCs w:val="24"/>
                <w:highlight w:val="none"/>
              </w:rPr>
            </w:pPr>
          </w:p>
        </w:tc>
      </w:tr>
      <w:tr w14:paraId="181B77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jc w:val="center"/>
        </w:trPr>
        <w:tc>
          <w:tcPr>
            <w:tcW w:w="877" w:type="dxa"/>
            <w:vMerge w:val="restart"/>
            <w:noWrap/>
            <w:vAlign w:val="center"/>
          </w:tcPr>
          <w:p w14:paraId="447A1A30">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3.1.2</w:t>
            </w:r>
          </w:p>
        </w:tc>
        <w:tc>
          <w:tcPr>
            <w:tcW w:w="877" w:type="dxa"/>
            <w:vMerge w:val="restart"/>
            <w:noWrap/>
            <w:vAlign w:val="center"/>
          </w:tcPr>
          <w:p w14:paraId="41ECA5E8">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资格评审</w:t>
            </w:r>
          </w:p>
        </w:tc>
        <w:tc>
          <w:tcPr>
            <w:tcW w:w="1843" w:type="dxa"/>
            <w:noWrap/>
            <w:vAlign w:val="center"/>
          </w:tcPr>
          <w:p w14:paraId="7A0F26E4">
            <w:pPr>
              <w:pStyle w:val="38"/>
              <w:keepNext w:val="0"/>
              <w:keepLines w:val="0"/>
              <w:suppressLineNumbers w:val="0"/>
              <w:adjustRightInd w:val="0"/>
              <w:spacing w:before="0" w:beforeAutospacing="0" w:after="0" w:afterAutospacing="0"/>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资格条件</w:t>
            </w:r>
          </w:p>
        </w:tc>
        <w:tc>
          <w:tcPr>
            <w:tcW w:w="4225" w:type="dxa"/>
            <w:noWrap/>
            <w:vAlign w:val="center"/>
          </w:tcPr>
          <w:p w14:paraId="6D7065C8">
            <w:pPr>
              <w:pStyle w:val="38"/>
              <w:keepNext w:val="0"/>
              <w:keepLines w:val="0"/>
              <w:suppressLineNumbers w:val="0"/>
              <w:adjustRightInd w:val="0"/>
              <w:spacing w:before="0" w:beforeAutospacing="0" w:after="0" w:afterAutospacing="0"/>
              <w:ind w:left="0" w:right="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符合磋商公告要求</w:t>
            </w:r>
          </w:p>
        </w:tc>
        <w:tc>
          <w:tcPr>
            <w:tcW w:w="1843" w:type="dxa"/>
            <w:noWrap/>
            <w:vAlign w:val="center"/>
          </w:tcPr>
          <w:p w14:paraId="47482354">
            <w:pPr>
              <w:keepNext w:val="0"/>
              <w:keepLines w:val="0"/>
              <w:widowControl/>
              <w:suppressLineNumbers w:val="0"/>
              <w:adjustRightInd w:val="0"/>
              <w:spacing w:before="0" w:beforeAutospacing="0" w:after="0" w:afterAutospacing="0"/>
              <w:ind w:left="0" w:right="0"/>
              <w:rPr>
                <w:rFonts w:hint="eastAsia" w:ascii="仿宋" w:hAnsi="仿宋" w:eastAsia="仿宋" w:cs="仿宋"/>
                <w:color w:val="auto"/>
                <w:kern w:val="0"/>
                <w:sz w:val="24"/>
                <w:szCs w:val="24"/>
                <w:highlight w:val="none"/>
              </w:rPr>
            </w:pPr>
          </w:p>
        </w:tc>
      </w:tr>
      <w:tr w14:paraId="1E76EC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77" w:type="dxa"/>
            <w:vMerge w:val="continue"/>
            <w:noWrap/>
            <w:vAlign w:val="center"/>
          </w:tcPr>
          <w:p w14:paraId="0B65B947">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877" w:type="dxa"/>
            <w:vMerge w:val="continue"/>
            <w:noWrap/>
            <w:vAlign w:val="center"/>
          </w:tcPr>
          <w:p w14:paraId="342990EF">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1843" w:type="dxa"/>
            <w:noWrap/>
            <w:vAlign w:val="center"/>
          </w:tcPr>
          <w:p w14:paraId="03D9477B">
            <w:pPr>
              <w:pStyle w:val="38"/>
              <w:keepNext w:val="0"/>
              <w:keepLines w:val="0"/>
              <w:suppressLineNumbers w:val="0"/>
              <w:adjustRightInd w:val="0"/>
              <w:spacing w:before="0" w:beforeAutospacing="0" w:after="0" w:afterAutospacing="0"/>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信用状况</w:t>
            </w:r>
          </w:p>
        </w:tc>
        <w:tc>
          <w:tcPr>
            <w:tcW w:w="4225" w:type="dxa"/>
            <w:noWrap/>
            <w:vAlign w:val="center"/>
          </w:tcPr>
          <w:p w14:paraId="6EA62EBF">
            <w:pPr>
              <w:pStyle w:val="38"/>
              <w:keepNext w:val="0"/>
              <w:keepLines w:val="0"/>
              <w:suppressLineNumbers w:val="0"/>
              <w:wordWrap w:val="0"/>
              <w:autoSpaceDE w:val="0"/>
              <w:autoSpaceDN w:val="0"/>
              <w:adjustRightInd w:val="0"/>
              <w:spacing w:before="0" w:beforeAutospacing="0" w:after="0" w:afterAutospacing="0"/>
              <w:ind w:left="0" w:right="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符合磋商公告要求</w:t>
            </w:r>
          </w:p>
        </w:tc>
        <w:tc>
          <w:tcPr>
            <w:tcW w:w="1843" w:type="dxa"/>
            <w:noWrap/>
            <w:vAlign w:val="center"/>
          </w:tcPr>
          <w:p w14:paraId="51C8B273">
            <w:pPr>
              <w:keepNext w:val="0"/>
              <w:keepLines w:val="0"/>
              <w:widowControl/>
              <w:suppressLineNumbers w:val="0"/>
              <w:adjustRightInd w:val="0"/>
              <w:spacing w:before="0" w:beforeAutospacing="0" w:after="0" w:afterAutospacing="0"/>
              <w:ind w:left="0" w:right="0"/>
              <w:rPr>
                <w:rFonts w:hint="eastAsia" w:ascii="仿宋" w:hAnsi="仿宋" w:eastAsia="仿宋" w:cs="仿宋"/>
                <w:color w:val="auto"/>
                <w:kern w:val="0"/>
                <w:sz w:val="24"/>
                <w:szCs w:val="24"/>
                <w:highlight w:val="none"/>
              </w:rPr>
            </w:pPr>
          </w:p>
        </w:tc>
      </w:tr>
      <w:tr w14:paraId="61325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77" w:type="dxa"/>
            <w:vMerge w:val="continue"/>
            <w:noWrap/>
            <w:vAlign w:val="center"/>
          </w:tcPr>
          <w:p w14:paraId="65349B6D">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877" w:type="dxa"/>
            <w:vMerge w:val="continue"/>
            <w:noWrap/>
            <w:vAlign w:val="center"/>
          </w:tcPr>
          <w:p w14:paraId="59A8255D">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1843" w:type="dxa"/>
            <w:noWrap/>
            <w:vAlign w:val="center"/>
          </w:tcPr>
          <w:p w14:paraId="36958AB3">
            <w:pPr>
              <w:keepNext w:val="0"/>
              <w:keepLines w:val="0"/>
              <w:widowControl/>
              <w:suppressLineNumbers w:val="0"/>
              <w:spacing w:before="0" w:beforeAutospacing="0" w:after="0" w:afterAutospacing="0"/>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w:t>
            </w:r>
          </w:p>
        </w:tc>
        <w:tc>
          <w:tcPr>
            <w:tcW w:w="4225" w:type="dxa"/>
            <w:noWrap/>
            <w:vAlign w:val="center"/>
          </w:tcPr>
          <w:p w14:paraId="6B06994D">
            <w:pPr>
              <w:keepNext w:val="0"/>
              <w:keepLines w:val="0"/>
              <w:suppressLineNumbers w:val="0"/>
              <w:spacing w:before="0" w:beforeAutospacing="0" w:after="0" w:afterAutospacing="0" w:line="0" w:lineRule="atLeast"/>
              <w:ind w:left="0" w:right="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磋商文件其他实质性要求</w:t>
            </w:r>
          </w:p>
        </w:tc>
        <w:tc>
          <w:tcPr>
            <w:tcW w:w="1843" w:type="dxa"/>
            <w:noWrap/>
            <w:vAlign w:val="center"/>
          </w:tcPr>
          <w:p w14:paraId="703F8E4A">
            <w:pPr>
              <w:keepNext w:val="0"/>
              <w:keepLines w:val="0"/>
              <w:widowControl/>
              <w:suppressLineNumbers w:val="0"/>
              <w:adjustRightInd w:val="0"/>
              <w:spacing w:before="0" w:beforeAutospacing="0" w:after="0" w:afterAutospacing="0"/>
              <w:ind w:left="0" w:right="0"/>
              <w:rPr>
                <w:rFonts w:hint="eastAsia" w:ascii="仿宋" w:hAnsi="仿宋" w:eastAsia="仿宋" w:cs="仿宋"/>
                <w:color w:val="auto"/>
                <w:kern w:val="0"/>
                <w:sz w:val="24"/>
                <w:szCs w:val="24"/>
                <w:highlight w:val="none"/>
              </w:rPr>
            </w:pPr>
          </w:p>
        </w:tc>
      </w:tr>
      <w:tr w14:paraId="06C7C4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77" w:type="dxa"/>
            <w:vMerge w:val="restart"/>
            <w:noWrap/>
            <w:vAlign w:val="center"/>
          </w:tcPr>
          <w:p w14:paraId="5260D674">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3.1.2</w:t>
            </w:r>
          </w:p>
        </w:tc>
        <w:tc>
          <w:tcPr>
            <w:tcW w:w="877" w:type="dxa"/>
            <w:vMerge w:val="restart"/>
            <w:noWrap/>
            <w:vAlign w:val="center"/>
          </w:tcPr>
          <w:p w14:paraId="68827FE4">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响应性评审</w:t>
            </w:r>
          </w:p>
        </w:tc>
        <w:tc>
          <w:tcPr>
            <w:tcW w:w="1843" w:type="dxa"/>
            <w:noWrap/>
            <w:vAlign w:val="center"/>
          </w:tcPr>
          <w:p w14:paraId="017AADA0">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响应报价</w:t>
            </w:r>
          </w:p>
        </w:tc>
        <w:tc>
          <w:tcPr>
            <w:tcW w:w="4225" w:type="dxa"/>
            <w:noWrap/>
            <w:vAlign w:val="top"/>
          </w:tcPr>
          <w:p w14:paraId="338E852F">
            <w:pPr>
              <w:keepNext w:val="0"/>
              <w:keepLines w:val="0"/>
              <w:widowControl/>
              <w:suppressLineNumbers w:val="0"/>
              <w:spacing w:before="0" w:beforeAutospacing="0" w:after="0" w:afterAutospacing="0"/>
              <w:ind w:left="0" w:right="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zh-CN"/>
              </w:rPr>
              <w:t>响应报价不得超过采购预算（最高限价），</w:t>
            </w:r>
          </w:p>
          <w:p w14:paraId="6DE86171">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rPr>
              <w:t>只能有一个有效报价，不得提交选择性报价</w:t>
            </w:r>
          </w:p>
        </w:tc>
        <w:tc>
          <w:tcPr>
            <w:tcW w:w="1843" w:type="dxa"/>
            <w:noWrap/>
            <w:vAlign w:val="center"/>
          </w:tcPr>
          <w:p w14:paraId="4E92C125">
            <w:pPr>
              <w:keepNext w:val="0"/>
              <w:keepLines w:val="0"/>
              <w:widowControl/>
              <w:suppressLineNumbers w:val="0"/>
              <w:spacing w:before="0" w:beforeAutospacing="0" w:after="0" w:afterAutospacing="0"/>
              <w:ind w:left="0" w:right="0"/>
              <w:rPr>
                <w:rFonts w:hint="eastAsia" w:ascii="仿宋" w:hAnsi="仿宋" w:eastAsia="仿宋" w:cs="仿宋"/>
                <w:color w:val="auto"/>
                <w:kern w:val="0"/>
                <w:sz w:val="24"/>
                <w:szCs w:val="24"/>
                <w:highlight w:val="none"/>
              </w:rPr>
            </w:pPr>
          </w:p>
        </w:tc>
      </w:tr>
      <w:tr w14:paraId="72A38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77" w:type="dxa"/>
            <w:vMerge w:val="continue"/>
            <w:noWrap/>
            <w:vAlign w:val="center"/>
          </w:tcPr>
          <w:p w14:paraId="19F20656">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877" w:type="dxa"/>
            <w:vMerge w:val="continue"/>
            <w:noWrap/>
            <w:vAlign w:val="center"/>
          </w:tcPr>
          <w:p w14:paraId="7C26F8A5">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1843" w:type="dxa"/>
            <w:noWrap/>
            <w:vAlign w:val="center"/>
          </w:tcPr>
          <w:p w14:paraId="23C8A747">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响应内容</w:t>
            </w:r>
          </w:p>
        </w:tc>
        <w:tc>
          <w:tcPr>
            <w:tcW w:w="4225" w:type="dxa"/>
            <w:noWrap/>
            <w:vAlign w:val="center"/>
          </w:tcPr>
          <w:p w14:paraId="65BE533A">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符合采购文件实质性要求</w:t>
            </w:r>
          </w:p>
        </w:tc>
        <w:tc>
          <w:tcPr>
            <w:tcW w:w="1843" w:type="dxa"/>
            <w:noWrap/>
            <w:vAlign w:val="center"/>
          </w:tcPr>
          <w:p w14:paraId="5A24567E">
            <w:pPr>
              <w:keepNext w:val="0"/>
              <w:keepLines w:val="0"/>
              <w:widowControl/>
              <w:suppressLineNumbers w:val="0"/>
              <w:spacing w:before="0" w:beforeAutospacing="0" w:after="0" w:afterAutospacing="0"/>
              <w:ind w:left="0" w:right="0"/>
              <w:rPr>
                <w:rFonts w:hint="eastAsia" w:ascii="仿宋" w:hAnsi="仿宋" w:eastAsia="仿宋" w:cs="仿宋"/>
                <w:color w:val="auto"/>
                <w:kern w:val="0"/>
                <w:sz w:val="24"/>
                <w:szCs w:val="24"/>
                <w:highlight w:val="none"/>
              </w:rPr>
            </w:pPr>
          </w:p>
        </w:tc>
      </w:tr>
      <w:tr w14:paraId="6E729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77" w:type="dxa"/>
            <w:vMerge w:val="continue"/>
            <w:noWrap/>
            <w:vAlign w:val="top"/>
          </w:tcPr>
          <w:p w14:paraId="231A7DAE">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877" w:type="dxa"/>
            <w:vMerge w:val="continue"/>
            <w:noWrap/>
            <w:vAlign w:val="center"/>
          </w:tcPr>
          <w:p w14:paraId="31DD9407">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1843" w:type="dxa"/>
            <w:noWrap/>
            <w:vAlign w:val="center"/>
          </w:tcPr>
          <w:p w14:paraId="5D4B03DD">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磋商保证金</w:t>
            </w:r>
          </w:p>
        </w:tc>
        <w:tc>
          <w:tcPr>
            <w:tcW w:w="4225" w:type="dxa"/>
            <w:noWrap/>
            <w:vAlign w:val="center"/>
          </w:tcPr>
          <w:p w14:paraId="37B7E059">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符合磋商文件要求</w:t>
            </w:r>
          </w:p>
        </w:tc>
        <w:tc>
          <w:tcPr>
            <w:tcW w:w="1843" w:type="dxa"/>
            <w:noWrap/>
            <w:vAlign w:val="center"/>
          </w:tcPr>
          <w:p w14:paraId="3A44A30E">
            <w:pPr>
              <w:keepNext w:val="0"/>
              <w:keepLines w:val="0"/>
              <w:widowControl/>
              <w:suppressLineNumbers w:val="0"/>
              <w:spacing w:before="0" w:beforeAutospacing="0" w:after="0" w:afterAutospacing="0"/>
              <w:ind w:left="0" w:right="0"/>
              <w:rPr>
                <w:rFonts w:hint="eastAsia" w:ascii="仿宋" w:hAnsi="仿宋" w:eastAsia="仿宋" w:cs="仿宋"/>
                <w:color w:val="auto"/>
                <w:kern w:val="0"/>
                <w:sz w:val="24"/>
                <w:szCs w:val="24"/>
                <w:highlight w:val="none"/>
              </w:rPr>
            </w:pPr>
          </w:p>
        </w:tc>
      </w:tr>
      <w:tr w14:paraId="30C10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77" w:type="dxa"/>
            <w:vMerge w:val="continue"/>
            <w:noWrap/>
            <w:vAlign w:val="top"/>
          </w:tcPr>
          <w:p w14:paraId="7E29C5D5">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877" w:type="dxa"/>
            <w:vMerge w:val="continue"/>
            <w:noWrap/>
            <w:vAlign w:val="center"/>
          </w:tcPr>
          <w:p w14:paraId="364047B4">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1843" w:type="dxa"/>
            <w:noWrap/>
            <w:vAlign w:val="center"/>
          </w:tcPr>
          <w:p w14:paraId="6C811DDF">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响应文件有效期</w:t>
            </w:r>
          </w:p>
        </w:tc>
        <w:tc>
          <w:tcPr>
            <w:tcW w:w="4225" w:type="dxa"/>
            <w:noWrap/>
            <w:vAlign w:val="center"/>
          </w:tcPr>
          <w:p w14:paraId="0E2E9BBA">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符合磋商文件要求</w:t>
            </w:r>
          </w:p>
        </w:tc>
        <w:tc>
          <w:tcPr>
            <w:tcW w:w="1843" w:type="dxa"/>
            <w:noWrap/>
            <w:vAlign w:val="center"/>
          </w:tcPr>
          <w:p w14:paraId="7DF315C5">
            <w:pPr>
              <w:keepNext w:val="0"/>
              <w:keepLines w:val="0"/>
              <w:widowControl/>
              <w:suppressLineNumbers w:val="0"/>
              <w:spacing w:before="0" w:beforeAutospacing="0" w:after="0" w:afterAutospacing="0"/>
              <w:ind w:left="0" w:right="0"/>
              <w:rPr>
                <w:rFonts w:hint="eastAsia" w:ascii="仿宋" w:hAnsi="仿宋" w:eastAsia="仿宋" w:cs="仿宋"/>
                <w:color w:val="auto"/>
                <w:kern w:val="0"/>
                <w:sz w:val="24"/>
                <w:szCs w:val="24"/>
                <w:highlight w:val="none"/>
              </w:rPr>
            </w:pPr>
          </w:p>
        </w:tc>
      </w:tr>
      <w:tr w14:paraId="53E9D3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77" w:type="dxa"/>
            <w:vMerge w:val="continue"/>
            <w:noWrap/>
            <w:vAlign w:val="top"/>
          </w:tcPr>
          <w:p w14:paraId="5CEB2B42">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877" w:type="dxa"/>
            <w:vMerge w:val="continue"/>
            <w:noWrap/>
            <w:vAlign w:val="center"/>
          </w:tcPr>
          <w:p w14:paraId="2EF46FEC">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1843" w:type="dxa"/>
            <w:noWrap/>
            <w:vAlign w:val="center"/>
          </w:tcPr>
          <w:p w14:paraId="30193D5C">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服务期</w:t>
            </w:r>
          </w:p>
        </w:tc>
        <w:tc>
          <w:tcPr>
            <w:tcW w:w="4225" w:type="dxa"/>
            <w:noWrap/>
            <w:vAlign w:val="center"/>
          </w:tcPr>
          <w:p w14:paraId="137B6E55">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符合磋商文件要求</w:t>
            </w:r>
          </w:p>
        </w:tc>
        <w:tc>
          <w:tcPr>
            <w:tcW w:w="1843" w:type="dxa"/>
            <w:noWrap/>
            <w:vAlign w:val="center"/>
          </w:tcPr>
          <w:p w14:paraId="1873075D">
            <w:pPr>
              <w:keepNext w:val="0"/>
              <w:keepLines w:val="0"/>
              <w:widowControl/>
              <w:suppressLineNumbers w:val="0"/>
              <w:spacing w:before="0" w:beforeAutospacing="0" w:after="0" w:afterAutospacing="0"/>
              <w:ind w:left="0" w:right="0"/>
              <w:rPr>
                <w:rFonts w:hint="eastAsia" w:ascii="仿宋" w:hAnsi="仿宋" w:eastAsia="仿宋" w:cs="仿宋"/>
                <w:color w:val="auto"/>
                <w:kern w:val="0"/>
                <w:sz w:val="24"/>
                <w:szCs w:val="24"/>
                <w:highlight w:val="none"/>
              </w:rPr>
            </w:pPr>
          </w:p>
        </w:tc>
      </w:tr>
      <w:tr w14:paraId="3A601D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77" w:type="dxa"/>
            <w:vMerge w:val="continue"/>
            <w:noWrap/>
            <w:vAlign w:val="top"/>
          </w:tcPr>
          <w:p w14:paraId="6E8DF897">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877" w:type="dxa"/>
            <w:vMerge w:val="continue"/>
            <w:noWrap/>
            <w:vAlign w:val="center"/>
          </w:tcPr>
          <w:p w14:paraId="08888B41">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1843" w:type="dxa"/>
            <w:noWrap/>
            <w:vAlign w:val="center"/>
          </w:tcPr>
          <w:p w14:paraId="14A9E0C1">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服务要求</w:t>
            </w:r>
          </w:p>
        </w:tc>
        <w:tc>
          <w:tcPr>
            <w:tcW w:w="4225" w:type="dxa"/>
            <w:noWrap/>
            <w:vAlign w:val="center"/>
          </w:tcPr>
          <w:p w14:paraId="38E78D77">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符合磋商文件要求</w:t>
            </w:r>
          </w:p>
        </w:tc>
        <w:tc>
          <w:tcPr>
            <w:tcW w:w="1843" w:type="dxa"/>
            <w:noWrap/>
            <w:vAlign w:val="center"/>
          </w:tcPr>
          <w:p w14:paraId="4CF58B6D">
            <w:pPr>
              <w:keepNext w:val="0"/>
              <w:keepLines w:val="0"/>
              <w:widowControl/>
              <w:suppressLineNumbers w:val="0"/>
              <w:spacing w:before="0" w:beforeAutospacing="0" w:after="0" w:afterAutospacing="0"/>
              <w:ind w:left="0" w:right="0"/>
              <w:rPr>
                <w:rFonts w:hint="eastAsia" w:ascii="仿宋" w:hAnsi="仿宋" w:eastAsia="仿宋" w:cs="仿宋"/>
                <w:color w:val="auto"/>
                <w:kern w:val="0"/>
                <w:sz w:val="24"/>
                <w:szCs w:val="24"/>
                <w:highlight w:val="none"/>
              </w:rPr>
            </w:pPr>
          </w:p>
        </w:tc>
      </w:tr>
      <w:tr w14:paraId="0F83C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77" w:type="dxa"/>
            <w:vMerge w:val="continue"/>
            <w:noWrap/>
            <w:vAlign w:val="top"/>
          </w:tcPr>
          <w:p w14:paraId="22518554">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877" w:type="dxa"/>
            <w:vMerge w:val="continue"/>
            <w:noWrap/>
            <w:vAlign w:val="center"/>
          </w:tcPr>
          <w:p w14:paraId="5933D1F4">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1843" w:type="dxa"/>
            <w:noWrap/>
            <w:vAlign w:val="center"/>
          </w:tcPr>
          <w:p w14:paraId="3E93EAA3">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付款方式</w:t>
            </w:r>
          </w:p>
        </w:tc>
        <w:tc>
          <w:tcPr>
            <w:tcW w:w="4225" w:type="dxa"/>
            <w:noWrap/>
            <w:vAlign w:val="center"/>
          </w:tcPr>
          <w:p w14:paraId="7FC07253">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符合磋商文件要求</w:t>
            </w:r>
          </w:p>
        </w:tc>
        <w:tc>
          <w:tcPr>
            <w:tcW w:w="1843" w:type="dxa"/>
            <w:noWrap/>
            <w:vAlign w:val="center"/>
          </w:tcPr>
          <w:p w14:paraId="402689B9">
            <w:pPr>
              <w:keepNext w:val="0"/>
              <w:keepLines w:val="0"/>
              <w:widowControl/>
              <w:suppressLineNumbers w:val="0"/>
              <w:spacing w:before="0" w:beforeAutospacing="0" w:after="0" w:afterAutospacing="0"/>
              <w:ind w:left="0" w:right="0"/>
              <w:rPr>
                <w:rFonts w:hint="eastAsia" w:ascii="仿宋" w:hAnsi="仿宋" w:eastAsia="仿宋" w:cs="仿宋"/>
                <w:color w:val="auto"/>
                <w:kern w:val="0"/>
                <w:sz w:val="24"/>
                <w:szCs w:val="24"/>
                <w:highlight w:val="none"/>
              </w:rPr>
            </w:pPr>
          </w:p>
        </w:tc>
      </w:tr>
      <w:tr w14:paraId="7F6BF0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77" w:type="dxa"/>
            <w:vMerge w:val="continue"/>
            <w:noWrap/>
            <w:vAlign w:val="top"/>
          </w:tcPr>
          <w:p w14:paraId="75464F2A">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877" w:type="dxa"/>
            <w:vMerge w:val="continue"/>
            <w:noWrap/>
            <w:vAlign w:val="center"/>
          </w:tcPr>
          <w:p w14:paraId="3527800A">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1843" w:type="dxa"/>
            <w:noWrap/>
            <w:vAlign w:val="center"/>
          </w:tcPr>
          <w:p w14:paraId="2650F725">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合同形式</w:t>
            </w:r>
          </w:p>
        </w:tc>
        <w:tc>
          <w:tcPr>
            <w:tcW w:w="4225" w:type="dxa"/>
            <w:noWrap/>
            <w:vAlign w:val="center"/>
          </w:tcPr>
          <w:p w14:paraId="4408995D">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符合磋商文件要求</w:t>
            </w:r>
          </w:p>
        </w:tc>
        <w:tc>
          <w:tcPr>
            <w:tcW w:w="1843" w:type="dxa"/>
            <w:noWrap/>
            <w:vAlign w:val="center"/>
          </w:tcPr>
          <w:p w14:paraId="02EC7D02">
            <w:pPr>
              <w:keepNext w:val="0"/>
              <w:keepLines w:val="0"/>
              <w:widowControl/>
              <w:suppressLineNumbers w:val="0"/>
              <w:spacing w:before="0" w:beforeAutospacing="0" w:after="0" w:afterAutospacing="0"/>
              <w:ind w:left="0" w:right="0"/>
              <w:rPr>
                <w:rFonts w:hint="eastAsia" w:ascii="仿宋" w:hAnsi="仿宋" w:eastAsia="仿宋" w:cs="仿宋"/>
                <w:color w:val="auto"/>
                <w:kern w:val="0"/>
                <w:sz w:val="24"/>
                <w:szCs w:val="24"/>
                <w:highlight w:val="none"/>
              </w:rPr>
            </w:pPr>
          </w:p>
        </w:tc>
      </w:tr>
      <w:tr w14:paraId="7D147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77" w:type="dxa"/>
            <w:vMerge w:val="continue"/>
            <w:noWrap/>
            <w:vAlign w:val="top"/>
          </w:tcPr>
          <w:p w14:paraId="29FD74F9">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877" w:type="dxa"/>
            <w:vMerge w:val="continue"/>
            <w:noWrap/>
            <w:vAlign w:val="center"/>
          </w:tcPr>
          <w:p w14:paraId="03685CFD">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1843" w:type="dxa"/>
            <w:noWrap/>
            <w:vAlign w:val="center"/>
          </w:tcPr>
          <w:p w14:paraId="0FE82CEB">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履约保证金</w:t>
            </w:r>
          </w:p>
        </w:tc>
        <w:tc>
          <w:tcPr>
            <w:tcW w:w="4225" w:type="dxa"/>
            <w:noWrap/>
            <w:vAlign w:val="center"/>
          </w:tcPr>
          <w:p w14:paraId="70D071FD">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符合磋商文件要求</w:t>
            </w:r>
          </w:p>
        </w:tc>
        <w:tc>
          <w:tcPr>
            <w:tcW w:w="1843" w:type="dxa"/>
            <w:noWrap/>
            <w:vAlign w:val="center"/>
          </w:tcPr>
          <w:p w14:paraId="2FEF819B">
            <w:pPr>
              <w:keepNext w:val="0"/>
              <w:keepLines w:val="0"/>
              <w:widowControl/>
              <w:suppressLineNumbers w:val="0"/>
              <w:spacing w:before="0" w:beforeAutospacing="0" w:after="0" w:afterAutospacing="0"/>
              <w:ind w:left="0" w:right="0"/>
              <w:rPr>
                <w:rFonts w:hint="eastAsia" w:ascii="仿宋" w:hAnsi="仿宋" w:eastAsia="仿宋" w:cs="仿宋"/>
                <w:color w:val="auto"/>
                <w:kern w:val="0"/>
                <w:sz w:val="24"/>
                <w:szCs w:val="24"/>
                <w:highlight w:val="none"/>
              </w:rPr>
            </w:pPr>
          </w:p>
        </w:tc>
      </w:tr>
      <w:tr w14:paraId="178B4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77" w:type="dxa"/>
            <w:vMerge w:val="continue"/>
            <w:noWrap/>
            <w:vAlign w:val="top"/>
          </w:tcPr>
          <w:p w14:paraId="63007243">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877" w:type="dxa"/>
            <w:vMerge w:val="continue"/>
            <w:noWrap/>
            <w:vAlign w:val="center"/>
          </w:tcPr>
          <w:p w14:paraId="6A8284AB">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1843" w:type="dxa"/>
            <w:noWrap/>
            <w:vAlign w:val="center"/>
          </w:tcPr>
          <w:p w14:paraId="0CE273F6">
            <w:pPr>
              <w:keepNext w:val="0"/>
              <w:keepLines w:val="0"/>
              <w:widowControl/>
              <w:suppressLineNumbers w:val="0"/>
              <w:spacing w:before="0" w:beforeAutospacing="0" w:after="0" w:afterAutospacing="0"/>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w:t>
            </w:r>
          </w:p>
        </w:tc>
        <w:tc>
          <w:tcPr>
            <w:tcW w:w="4225" w:type="dxa"/>
            <w:noWrap/>
            <w:vAlign w:val="center"/>
          </w:tcPr>
          <w:p w14:paraId="499D49B4">
            <w:pPr>
              <w:keepNext w:val="0"/>
              <w:keepLines w:val="0"/>
              <w:suppressLineNumbers w:val="0"/>
              <w:spacing w:before="0" w:beforeAutospacing="0" w:after="0" w:afterAutospacing="0" w:line="0" w:lineRule="atLeast"/>
              <w:ind w:left="0" w:right="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磋商文件其他实质性要求</w:t>
            </w:r>
          </w:p>
        </w:tc>
        <w:tc>
          <w:tcPr>
            <w:tcW w:w="1843" w:type="dxa"/>
            <w:noWrap/>
            <w:vAlign w:val="center"/>
          </w:tcPr>
          <w:p w14:paraId="776B38F8">
            <w:pPr>
              <w:keepNext w:val="0"/>
              <w:keepLines w:val="0"/>
              <w:widowControl/>
              <w:suppressLineNumbers w:val="0"/>
              <w:spacing w:before="0" w:beforeAutospacing="0" w:after="0" w:afterAutospacing="0"/>
              <w:ind w:left="0" w:right="0"/>
              <w:rPr>
                <w:rFonts w:hint="eastAsia" w:ascii="仿宋" w:hAnsi="仿宋" w:eastAsia="仿宋" w:cs="仿宋"/>
                <w:color w:val="auto"/>
                <w:kern w:val="0"/>
                <w:sz w:val="24"/>
                <w:szCs w:val="24"/>
                <w:highlight w:val="none"/>
              </w:rPr>
            </w:pPr>
          </w:p>
        </w:tc>
      </w:tr>
      <w:tr w14:paraId="5469C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77" w:type="dxa"/>
            <w:noWrap/>
            <w:vAlign w:val="top"/>
          </w:tcPr>
          <w:p w14:paraId="66045AB5">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3.2</w:t>
            </w:r>
          </w:p>
        </w:tc>
        <w:tc>
          <w:tcPr>
            <w:tcW w:w="877" w:type="dxa"/>
            <w:noWrap/>
            <w:vAlign w:val="center"/>
          </w:tcPr>
          <w:p w14:paraId="0A1C3B66">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异常低价</w:t>
            </w:r>
          </w:p>
        </w:tc>
        <w:tc>
          <w:tcPr>
            <w:tcW w:w="1843" w:type="dxa"/>
            <w:noWrap/>
            <w:vAlign w:val="center"/>
          </w:tcPr>
          <w:p w14:paraId="639A7974">
            <w:pPr>
              <w:keepNext w:val="0"/>
              <w:keepLines w:val="0"/>
              <w:widowControl/>
              <w:suppressLineNumbers w:val="0"/>
              <w:spacing w:before="0" w:beforeAutospacing="0" w:after="0" w:afterAutospacing="0"/>
              <w:ind w:left="0" w:right="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异常低价</w:t>
            </w:r>
            <w:r>
              <w:rPr>
                <w:rFonts w:hint="eastAsia" w:ascii="仿宋" w:hAnsi="仿宋" w:eastAsia="仿宋" w:cs="仿宋"/>
                <w:color w:val="auto"/>
                <w:sz w:val="24"/>
                <w:szCs w:val="24"/>
                <w:highlight w:val="none"/>
                <w:lang w:val="en-US" w:eastAsia="zh-CN"/>
              </w:rPr>
              <w:t>报价</w:t>
            </w:r>
            <w:r>
              <w:rPr>
                <w:rFonts w:hint="eastAsia" w:ascii="仿宋" w:hAnsi="仿宋" w:eastAsia="仿宋" w:cs="仿宋"/>
                <w:color w:val="auto"/>
                <w:sz w:val="24"/>
                <w:szCs w:val="24"/>
                <w:highlight w:val="none"/>
              </w:rPr>
              <w:t>审查指标</w:t>
            </w:r>
          </w:p>
        </w:tc>
        <w:tc>
          <w:tcPr>
            <w:tcW w:w="4225" w:type="dxa"/>
            <w:noWrap/>
            <w:vAlign w:val="center"/>
          </w:tcPr>
          <w:p w14:paraId="172B9299">
            <w:pPr>
              <w:keepNext w:val="0"/>
              <w:keepLines w:val="0"/>
              <w:widowControl/>
              <w:suppressLineNumbers w:val="0"/>
              <w:snapToGrid/>
              <w:spacing w:before="0" w:beforeAutospacing="0" w:after="0" w:afterAutospacing="0" w:line="0" w:lineRule="atLeast"/>
              <w:ind w:left="0" w:right="0"/>
              <w:rPr>
                <w:rFonts w:hint="eastAsia" w:ascii="仿宋" w:hAnsi="仿宋" w:eastAsia="仿宋" w:cs="仿宋"/>
                <w:color w:val="auto"/>
                <w:sz w:val="24"/>
                <w:highlight w:val="none"/>
              </w:rPr>
            </w:pPr>
            <w:r>
              <w:rPr>
                <w:rFonts w:hint="eastAsia" w:ascii="仿宋" w:hAnsi="仿宋" w:eastAsia="仿宋" w:cs="仿宋"/>
                <w:color w:val="auto"/>
                <w:sz w:val="24"/>
                <w:highlight w:val="none"/>
              </w:rPr>
              <w:t>出现下列</w:t>
            </w:r>
            <w:r>
              <w:rPr>
                <w:rFonts w:hint="eastAsia" w:ascii="仿宋" w:hAnsi="仿宋" w:eastAsia="仿宋" w:cs="仿宋"/>
                <w:color w:val="auto"/>
                <w:sz w:val="24"/>
                <w:highlight w:val="none"/>
                <w:lang w:val="en-US" w:eastAsia="zh-CN"/>
              </w:rPr>
              <w:t>审查指标</w:t>
            </w:r>
            <w:r>
              <w:rPr>
                <w:rFonts w:hint="eastAsia" w:ascii="仿宋" w:hAnsi="仿宋" w:eastAsia="仿宋" w:cs="仿宋"/>
                <w:color w:val="auto"/>
                <w:sz w:val="24"/>
                <w:highlight w:val="none"/>
              </w:rPr>
              <w:t>之一的，评标委员会应当启动异常低价投标审查程序</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经认定为异常低价的，按无效投标处理</w:t>
            </w:r>
            <w:r>
              <w:rPr>
                <w:rFonts w:hint="eastAsia" w:ascii="仿宋" w:hAnsi="仿宋" w:eastAsia="仿宋" w:cs="仿宋"/>
                <w:color w:val="auto"/>
                <w:sz w:val="24"/>
                <w:highlight w:val="none"/>
              </w:rPr>
              <w:t>：</w:t>
            </w:r>
          </w:p>
          <w:p w14:paraId="21E547A8">
            <w:pPr>
              <w:keepNext w:val="0"/>
              <w:keepLines w:val="0"/>
              <w:widowControl/>
              <w:suppressLineNumbers w:val="0"/>
              <w:snapToGrid/>
              <w:spacing w:before="0" w:beforeAutospacing="0" w:after="0" w:afterAutospacing="0" w:line="0" w:lineRule="atLeast"/>
              <w:ind w:left="0" w:right="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(1)投标报价低于全部通过符合性审查投标人投标报价平均值</w:t>
            </w:r>
            <w:r>
              <w:rPr>
                <w:rFonts w:hint="eastAsia" w:ascii="仿宋" w:hAnsi="仿宋" w:eastAsia="仿宋" w:cs="仿宋"/>
                <w:color w:val="auto"/>
                <w:sz w:val="24"/>
                <w:highlight w:val="none"/>
                <w:u w:val="none"/>
                <w:lang w:val="en-US" w:eastAsia="zh-CN"/>
              </w:rPr>
              <w:t>50</w:t>
            </w:r>
            <w:r>
              <w:rPr>
                <w:rFonts w:hint="eastAsia" w:ascii="仿宋" w:hAnsi="仿宋" w:eastAsia="仿宋" w:cs="仿宋"/>
                <w:color w:val="auto"/>
                <w:sz w:val="24"/>
                <w:highlight w:val="none"/>
                <w:lang w:val="en-US" w:eastAsia="zh-CN"/>
              </w:rPr>
              <w:t>%的，即投标报价&lt;全部通过符合性审查投标人投标报价平均值×</w:t>
            </w:r>
            <w:r>
              <w:rPr>
                <w:rFonts w:hint="eastAsia" w:ascii="仿宋" w:hAnsi="仿宋" w:eastAsia="仿宋" w:cs="仿宋"/>
                <w:color w:val="auto"/>
                <w:sz w:val="24"/>
                <w:highlight w:val="none"/>
                <w:u w:val="none"/>
                <w:lang w:val="en-US" w:eastAsia="zh-CN"/>
              </w:rPr>
              <w:t>50</w:t>
            </w:r>
            <w:r>
              <w:rPr>
                <w:rFonts w:hint="eastAsia" w:ascii="仿宋" w:hAnsi="仿宋" w:eastAsia="仿宋" w:cs="仿宋"/>
                <w:color w:val="auto"/>
                <w:sz w:val="24"/>
                <w:highlight w:val="none"/>
                <w:lang w:val="en-US" w:eastAsia="zh-CN"/>
              </w:rPr>
              <w:t>%；</w:t>
            </w:r>
          </w:p>
          <w:p w14:paraId="20C83BAB">
            <w:pPr>
              <w:keepNext w:val="0"/>
              <w:keepLines w:val="0"/>
              <w:widowControl/>
              <w:suppressLineNumbers w:val="0"/>
              <w:snapToGrid/>
              <w:spacing w:before="0" w:beforeAutospacing="0" w:after="0" w:afterAutospacing="0" w:line="0" w:lineRule="atLeast"/>
              <w:ind w:left="0" w:right="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(2)投标报价低于通过符合性审查的次低报价投标人投标报价</w:t>
            </w:r>
            <w:r>
              <w:rPr>
                <w:rFonts w:hint="eastAsia" w:ascii="仿宋" w:hAnsi="仿宋" w:eastAsia="仿宋" w:cs="仿宋"/>
                <w:color w:val="auto"/>
                <w:sz w:val="24"/>
                <w:highlight w:val="none"/>
                <w:u w:val="none"/>
                <w:lang w:val="en-US" w:eastAsia="zh-CN"/>
              </w:rPr>
              <w:t>50%</w:t>
            </w:r>
            <w:r>
              <w:rPr>
                <w:rFonts w:hint="eastAsia" w:ascii="仿宋" w:hAnsi="仿宋" w:eastAsia="仿宋" w:cs="仿宋"/>
                <w:color w:val="auto"/>
                <w:sz w:val="24"/>
                <w:highlight w:val="none"/>
                <w:lang w:val="en-US" w:eastAsia="zh-CN"/>
              </w:rPr>
              <w:t>的，即投标报价&lt;通过符合性审查的次低报价投标人投标报价×</w:t>
            </w:r>
            <w:r>
              <w:rPr>
                <w:rFonts w:hint="eastAsia" w:ascii="仿宋" w:hAnsi="仿宋" w:eastAsia="仿宋" w:cs="仿宋"/>
                <w:color w:val="auto"/>
                <w:sz w:val="24"/>
                <w:highlight w:val="none"/>
                <w:u w:val="none"/>
                <w:lang w:val="en-US" w:eastAsia="zh-CN"/>
              </w:rPr>
              <w:t>50%</w:t>
            </w:r>
            <w:r>
              <w:rPr>
                <w:rFonts w:hint="eastAsia" w:ascii="仿宋" w:hAnsi="仿宋" w:eastAsia="仿宋" w:cs="仿宋"/>
                <w:color w:val="auto"/>
                <w:sz w:val="24"/>
                <w:highlight w:val="none"/>
                <w:lang w:val="en-US" w:eastAsia="zh-CN"/>
              </w:rPr>
              <w:t>；</w:t>
            </w:r>
          </w:p>
          <w:p w14:paraId="09A24BF8">
            <w:pPr>
              <w:keepNext w:val="0"/>
              <w:keepLines w:val="0"/>
              <w:widowControl/>
              <w:suppressLineNumbers w:val="0"/>
              <w:snapToGrid/>
              <w:spacing w:before="0" w:beforeAutospacing="0" w:after="0" w:afterAutospacing="0" w:line="0" w:lineRule="atLeast"/>
              <w:ind w:left="0" w:right="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(3)投标报价低于采购项目最高限价</w:t>
            </w:r>
            <w:r>
              <w:rPr>
                <w:rFonts w:hint="eastAsia" w:ascii="仿宋" w:hAnsi="仿宋" w:eastAsia="仿宋" w:cs="仿宋"/>
                <w:color w:val="auto"/>
                <w:sz w:val="24"/>
                <w:highlight w:val="none"/>
                <w:u w:val="none"/>
                <w:lang w:val="en-US" w:eastAsia="zh-CN"/>
              </w:rPr>
              <w:t>45%</w:t>
            </w:r>
            <w:r>
              <w:rPr>
                <w:rFonts w:hint="eastAsia" w:ascii="仿宋" w:hAnsi="仿宋" w:eastAsia="仿宋" w:cs="仿宋"/>
                <w:color w:val="auto"/>
                <w:sz w:val="24"/>
                <w:highlight w:val="none"/>
                <w:lang w:val="en-US" w:eastAsia="zh-CN"/>
              </w:rPr>
              <w:t>的，即投标报价&lt;采购项目最高限价×</w:t>
            </w:r>
            <w:r>
              <w:rPr>
                <w:rFonts w:hint="eastAsia" w:ascii="仿宋" w:hAnsi="仿宋" w:eastAsia="仿宋" w:cs="仿宋"/>
                <w:color w:val="auto"/>
                <w:sz w:val="24"/>
                <w:highlight w:val="none"/>
                <w:u w:val="none"/>
                <w:lang w:val="en-US" w:eastAsia="zh-CN"/>
              </w:rPr>
              <w:t>45%</w:t>
            </w:r>
            <w:r>
              <w:rPr>
                <w:rFonts w:hint="eastAsia" w:ascii="仿宋" w:hAnsi="仿宋" w:eastAsia="仿宋" w:cs="仿宋"/>
                <w:color w:val="auto"/>
                <w:sz w:val="24"/>
                <w:highlight w:val="none"/>
                <w:lang w:val="en-US" w:eastAsia="zh-CN"/>
              </w:rPr>
              <w:t>；</w:t>
            </w:r>
          </w:p>
          <w:p w14:paraId="6D4F1E86">
            <w:pPr>
              <w:keepNext w:val="0"/>
              <w:keepLines w:val="0"/>
              <w:widowControl/>
              <w:suppressLineNumbers w:val="0"/>
              <w:spacing w:before="0" w:beforeAutospacing="0" w:after="0" w:afterAutospacing="0" w:line="0" w:lineRule="atLeast"/>
              <w:ind w:left="0" w:right="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highlight w:val="none"/>
                <w:lang w:val="en-US" w:eastAsia="zh-CN"/>
              </w:rPr>
              <w:t>(4)评标委员会基于专业判断，认为投标人报价过低，有可能影响产品质量或者不能诚信履约的其他情形。</w:t>
            </w:r>
          </w:p>
        </w:tc>
        <w:tc>
          <w:tcPr>
            <w:tcW w:w="1843" w:type="dxa"/>
            <w:noWrap/>
            <w:vAlign w:val="center"/>
          </w:tcPr>
          <w:p w14:paraId="541C8E2D">
            <w:pPr>
              <w:keepNext w:val="0"/>
              <w:keepLines w:val="0"/>
              <w:widowControl/>
              <w:suppressLineNumbers w:val="0"/>
              <w:spacing w:before="0" w:beforeAutospacing="0" w:after="0" w:afterAutospacing="0"/>
              <w:ind w:left="0" w:right="0"/>
              <w:rPr>
                <w:rFonts w:hint="eastAsia" w:ascii="仿宋" w:hAnsi="仿宋" w:eastAsia="仿宋" w:cs="仿宋"/>
                <w:color w:val="auto"/>
                <w:kern w:val="0"/>
                <w:sz w:val="24"/>
                <w:szCs w:val="24"/>
                <w:highlight w:val="none"/>
              </w:rPr>
            </w:pPr>
          </w:p>
        </w:tc>
      </w:tr>
    </w:tbl>
    <w:p w14:paraId="7BBF4F19">
      <w:pPr>
        <w:pStyle w:val="37"/>
        <w:adjustRightInd w:val="0"/>
        <w:snapToGrid w:val="0"/>
        <w:spacing w:before="0" w:line="360" w:lineRule="auto"/>
        <w:ind w:firstLine="429" w:firstLineChars="196"/>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br w:type="page"/>
      </w:r>
      <w:r>
        <w:rPr>
          <w:rFonts w:hint="eastAsia" w:ascii="仿宋" w:hAnsi="仿宋" w:eastAsia="仿宋" w:cs="仿宋"/>
          <w:b/>
          <w:color w:val="auto"/>
          <w:sz w:val="24"/>
          <w:szCs w:val="24"/>
          <w:highlight w:val="none"/>
        </w:rPr>
        <w:t>2、磋商程序及要求</w:t>
      </w:r>
    </w:p>
    <w:p w14:paraId="790E0684">
      <w:pPr>
        <w:pStyle w:val="39"/>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2.1初步评审合格的供应商进入</w:t>
      </w:r>
      <w:r>
        <w:rPr>
          <w:rFonts w:hint="eastAsia" w:ascii="仿宋" w:hAnsi="仿宋" w:eastAsia="仿宋" w:cs="仿宋"/>
          <w:color w:val="auto"/>
          <w:sz w:val="24"/>
          <w:szCs w:val="24"/>
          <w:highlight w:val="none"/>
          <w:lang w:val="en-US" w:eastAsia="zh-CN"/>
        </w:rPr>
        <w:t>综合评审阶段</w:t>
      </w:r>
      <w:r>
        <w:rPr>
          <w:rFonts w:hint="eastAsia" w:ascii="仿宋" w:hAnsi="仿宋" w:eastAsia="仿宋" w:cs="仿宋"/>
          <w:color w:val="auto"/>
          <w:sz w:val="24"/>
          <w:szCs w:val="24"/>
          <w:highlight w:val="none"/>
        </w:rPr>
        <w:t>。</w:t>
      </w:r>
    </w:p>
    <w:p w14:paraId="4A1FB064">
      <w:pPr>
        <w:spacing w:line="360" w:lineRule="auto"/>
        <w:ind w:firstLine="429" w:firstLineChars="196"/>
        <w:rPr>
          <w:rFonts w:hint="eastAsia" w:ascii="仿宋" w:hAnsi="仿宋" w:eastAsia="仿宋" w:cs="仿宋"/>
          <w:color w:val="000000"/>
          <w:sz w:val="24"/>
          <w:szCs w:val="24"/>
        </w:rPr>
      </w:pPr>
      <w:r>
        <w:rPr>
          <w:rFonts w:hint="eastAsia" w:ascii="仿宋" w:hAnsi="仿宋" w:eastAsia="仿宋" w:cs="仿宋"/>
          <w:color w:val="000000"/>
          <w:sz w:val="24"/>
          <w:szCs w:val="24"/>
        </w:rPr>
        <w:t>2</w:t>
      </w: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rPr>
        <w:t>评分步骤如下：</w:t>
      </w:r>
    </w:p>
    <w:p w14:paraId="7640094C">
      <w:pPr>
        <w:spacing w:line="360" w:lineRule="auto"/>
        <w:ind w:firstLine="429" w:firstLineChars="196"/>
        <w:rPr>
          <w:rFonts w:hint="eastAsia" w:ascii="仿宋" w:hAnsi="仿宋" w:eastAsia="仿宋" w:cs="仿宋"/>
          <w:color w:val="000000"/>
          <w:sz w:val="24"/>
          <w:szCs w:val="24"/>
        </w:rPr>
      </w:pPr>
      <w:r>
        <w:rPr>
          <w:rFonts w:hint="eastAsia" w:ascii="仿宋" w:hAnsi="仿宋" w:eastAsia="仿宋" w:cs="仿宋"/>
          <w:color w:val="000000"/>
          <w:sz w:val="24"/>
          <w:szCs w:val="24"/>
        </w:rPr>
        <w:t>（1）磋商小组应对进入</w:t>
      </w:r>
      <w:r>
        <w:rPr>
          <w:rFonts w:hint="eastAsia" w:ascii="仿宋" w:hAnsi="仿宋" w:eastAsia="仿宋" w:cs="仿宋"/>
          <w:color w:val="auto"/>
          <w:sz w:val="24"/>
          <w:szCs w:val="24"/>
          <w:highlight w:val="none"/>
          <w:lang w:val="en-US" w:eastAsia="zh-CN"/>
        </w:rPr>
        <w:t>综合评审阶段</w:t>
      </w:r>
      <w:r>
        <w:rPr>
          <w:rFonts w:hint="eastAsia" w:ascii="仿宋" w:hAnsi="仿宋" w:eastAsia="仿宋" w:cs="仿宋"/>
          <w:color w:val="000000"/>
          <w:sz w:val="24"/>
          <w:szCs w:val="24"/>
        </w:rPr>
        <w:t>的所有供应商进行评分，并分别填写评审表。</w:t>
      </w:r>
    </w:p>
    <w:p w14:paraId="279F00C1">
      <w:pPr>
        <w:spacing w:line="360" w:lineRule="auto"/>
        <w:ind w:firstLine="429" w:firstLineChars="196"/>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分值</w:t>
      </w:r>
      <w:r>
        <w:rPr>
          <w:rFonts w:hint="eastAsia" w:ascii="仿宋" w:hAnsi="仿宋" w:eastAsia="仿宋" w:cs="仿宋"/>
          <w:color w:val="000000"/>
          <w:sz w:val="24"/>
          <w:szCs w:val="24"/>
        </w:rPr>
        <w:t>汇总方法为：</w:t>
      </w:r>
      <w:r>
        <w:rPr>
          <w:rFonts w:hint="eastAsia" w:ascii="仿宋" w:hAnsi="仿宋" w:eastAsia="仿宋" w:cs="仿宋"/>
          <w:color w:val="000000"/>
          <w:sz w:val="24"/>
          <w:szCs w:val="24"/>
          <w:lang w:val="en-US" w:eastAsia="zh-CN"/>
        </w:rPr>
        <w:t>磋商小组根据供应商最终综合得分（</w:t>
      </w:r>
      <w:r>
        <w:rPr>
          <w:rFonts w:hint="eastAsia" w:ascii="仿宋" w:hAnsi="仿宋" w:eastAsia="仿宋" w:cs="仿宋"/>
          <w:color w:val="000000"/>
          <w:sz w:val="24"/>
          <w:szCs w:val="24"/>
        </w:rPr>
        <w:t>设计及技术部分</w:t>
      </w:r>
      <w:r>
        <w:rPr>
          <w:rFonts w:hint="eastAsia" w:ascii="仿宋" w:hAnsi="仿宋" w:eastAsia="仿宋" w:cs="仿宋"/>
          <w:color w:val="000000"/>
          <w:sz w:val="24"/>
          <w:szCs w:val="24"/>
          <w:lang w:val="en-US" w:eastAsia="zh-CN"/>
        </w:rPr>
        <w:t>+</w:t>
      </w:r>
      <w:r>
        <w:rPr>
          <w:rFonts w:hint="eastAsia" w:ascii="仿宋" w:hAnsi="仿宋" w:eastAsia="仿宋" w:cs="仿宋"/>
          <w:color w:val="000000"/>
          <w:sz w:val="24"/>
          <w:szCs w:val="24"/>
        </w:rPr>
        <w:t>投标报价</w:t>
      </w:r>
      <w:r>
        <w:rPr>
          <w:rFonts w:hint="eastAsia" w:ascii="仿宋" w:hAnsi="仿宋" w:eastAsia="仿宋" w:cs="仿宋"/>
          <w:color w:val="000000"/>
          <w:sz w:val="24"/>
          <w:szCs w:val="24"/>
          <w:lang w:val="en-US" w:eastAsia="zh-CN"/>
        </w:rPr>
        <w:t>得分）由高到低推荐不超过3名有排序的成交候选人。若出现综合得分相同的情况，则按报价低的列前，（取小数点后两位，第三位四舍五入）。</w:t>
      </w:r>
    </w:p>
    <w:p w14:paraId="04369BC9">
      <w:pPr>
        <w:spacing w:line="360" w:lineRule="auto"/>
        <w:ind w:firstLine="429" w:firstLineChars="196"/>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3）根据总分高低排序得出最终中标人。</w:t>
      </w:r>
    </w:p>
    <w:p w14:paraId="0EEB9FFA">
      <w:pPr>
        <w:pStyle w:val="37"/>
        <w:numPr>
          <w:ilvl w:val="0"/>
          <w:numId w:val="4"/>
        </w:numPr>
        <w:adjustRightInd w:val="0"/>
        <w:snapToGrid w:val="0"/>
        <w:spacing w:before="0" w:line="360" w:lineRule="auto"/>
        <w:ind w:firstLine="537" w:firstLineChars="245"/>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详细评审标准</w:t>
      </w:r>
    </w:p>
    <w:p w14:paraId="2C6CDF9C">
      <w:pPr>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b/>
          <w:bCs/>
          <w:color w:val="000000"/>
          <w:sz w:val="24"/>
          <w:szCs w:val="24"/>
        </w:rPr>
        <w:t>评分细则表（</w:t>
      </w:r>
      <w:r>
        <w:rPr>
          <w:rFonts w:hint="eastAsia" w:ascii="仿宋" w:hAnsi="仿宋" w:eastAsia="仿宋" w:cs="仿宋"/>
          <w:b/>
          <w:bCs/>
          <w:color w:val="000000"/>
          <w:sz w:val="24"/>
          <w:szCs w:val="24"/>
          <w:lang w:val="en-US" w:eastAsia="zh-CN"/>
        </w:rPr>
        <w:t>100</w:t>
      </w:r>
      <w:r>
        <w:rPr>
          <w:rFonts w:hint="eastAsia" w:ascii="仿宋" w:hAnsi="仿宋" w:eastAsia="仿宋" w:cs="仿宋"/>
          <w:b/>
          <w:bCs/>
          <w:color w:val="000000"/>
          <w:sz w:val="24"/>
          <w:szCs w:val="24"/>
        </w:rPr>
        <w:t>分）</w:t>
      </w:r>
    </w:p>
    <w:tbl>
      <w:tblPr>
        <w:tblStyle w:val="1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6"/>
        <w:gridCol w:w="1464"/>
        <w:gridCol w:w="6162"/>
        <w:gridCol w:w="1141"/>
      </w:tblGrid>
      <w:tr w14:paraId="393DF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56" w:type="dxa"/>
            <w:noWrap/>
            <w:vAlign w:val="center"/>
          </w:tcPr>
          <w:p w14:paraId="07C71519">
            <w:pPr>
              <w:keepNext w:val="0"/>
              <w:keepLines w:val="0"/>
              <w:suppressLineNumbers w:val="0"/>
              <w:adjustRightInd w:val="0"/>
              <w:snapToGrid w:val="0"/>
              <w:spacing w:before="0" w:beforeAutospacing="0" w:after="0" w:afterAutospacing="0" w:line="300" w:lineRule="auto"/>
              <w:ind w:left="0" w:right="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序号</w:t>
            </w:r>
          </w:p>
        </w:tc>
        <w:tc>
          <w:tcPr>
            <w:tcW w:w="1464" w:type="dxa"/>
            <w:noWrap/>
            <w:vAlign w:val="center"/>
          </w:tcPr>
          <w:p w14:paraId="5CD96329">
            <w:pPr>
              <w:keepNext w:val="0"/>
              <w:keepLines w:val="0"/>
              <w:suppressLineNumbers w:val="0"/>
              <w:adjustRightInd w:val="0"/>
              <w:snapToGrid w:val="0"/>
              <w:spacing w:before="0" w:beforeAutospacing="0" w:after="0" w:afterAutospacing="0" w:line="300" w:lineRule="auto"/>
              <w:ind w:left="0" w:right="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内容</w:t>
            </w:r>
          </w:p>
        </w:tc>
        <w:tc>
          <w:tcPr>
            <w:tcW w:w="6162" w:type="dxa"/>
            <w:noWrap/>
            <w:vAlign w:val="center"/>
          </w:tcPr>
          <w:p w14:paraId="3B9E5B76">
            <w:pPr>
              <w:keepNext w:val="0"/>
              <w:keepLines w:val="0"/>
              <w:suppressLineNumbers w:val="0"/>
              <w:adjustRightInd w:val="0"/>
              <w:snapToGrid w:val="0"/>
              <w:spacing w:before="0" w:beforeAutospacing="0" w:after="0" w:afterAutospacing="0" w:line="300" w:lineRule="auto"/>
              <w:ind w:left="0" w:right="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编列内容</w:t>
            </w:r>
          </w:p>
        </w:tc>
        <w:tc>
          <w:tcPr>
            <w:tcW w:w="1141" w:type="dxa"/>
            <w:noWrap/>
            <w:vAlign w:val="center"/>
          </w:tcPr>
          <w:p w14:paraId="2DF23C6F">
            <w:pPr>
              <w:keepNext w:val="0"/>
              <w:keepLines w:val="0"/>
              <w:widowControl/>
              <w:suppressLineNumbers w:val="0"/>
              <w:adjustRightInd w:val="0"/>
              <w:snapToGrid w:val="0"/>
              <w:spacing w:before="0" w:beforeAutospacing="0" w:after="0" w:afterAutospacing="0" w:line="300" w:lineRule="auto"/>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备注</w:t>
            </w:r>
          </w:p>
        </w:tc>
      </w:tr>
      <w:tr w14:paraId="1DC46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2" w:hRule="atLeast"/>
          <w:jc w:val="center"/>
        </w:trPr>
        <w:tc>
          <w:tcPr>
            <w:tcW w:w="656" w:type="dxa"/>
            <w:noWrap/>
            <w:vAlign w:val="center"/>
          </w:tcPr>
          <w:p w14:paraId="5156FDD5">
            <w:pPr>
              <w:keepNext w:val="0"/>
              <w:keepLines w:val="0"/>
              <w:suppressLineNumbers w:val="0"/>
              <w:adjustRightInd w:val="0"/>
              <w:snapToGrid w:val="0"/>
              <w:spacing w:before="0" w:beforeAutospacing="0" w:after="0" w:afterAutospacing="0" w:line="30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1464" w:type="dxa"/>
            <w:noWrap/>
            <w:vAlign w:val="center"/>
          </w:tcPr>
          <w:p w14:paraId="2BA1B08E">
            <w:pPr>
              <w:pStyle w:val="11"/>
              <w:keepNext w:val="0"/>
              <w:keepLines w:val="0"/>
              <w:suppressLineNumbers w:val="0"/>
              <w:spacing w:before="0" w:beforeAutospacing="0" w:after="0" w:afterAutospacing="0"/>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分值构成</w:t>
            </w:r>
          </w:p>
          <w:p w14:paraId="549736E7">
            <w:pPr>
              <w:pStyle w:val="11"/>
              <w:keepNext w:val="0"/>
              <w:keepLines w:val="0"/>
              <w:suppressLineNumbers w:val="0"/>
              <w:spacing w:before="0" w:beforeAutospacing="0" w:after="0" w:afterAutospacing="0"/>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(总分100分)</w:t>
            </w:r>
          </w:p>
        </w:tc>
        <w:tc>
          <w:tcPr>
            <w:tcW w:w="6162" w:type="dxa"/>
            <w:noWrap/>
            <w:vAlign w:val="center"/>
          </w:tcPr>
          <w:p w14:paraId="4D1BC4CD">
            <w:pPr>
              <w:pStyle w:val="11"/>
              <w:keepNext w:val="0"/>
              <w:keepLines w:val="0"/>
              <w:suppressLineNumbers w:val="0"/>
              <w:spacing w:before="0" w:beforeAutospacing="0" w:after="0" w:afterAutospacing="0"/>
              <w:ind w:left="0" w:right="0"/>
              <w:rPr>
                <w:rFonts w:hint="eastAsia" w:ascii="仿宋" w:hAnsi="仿宋" w:eastAsia="仿宋" w:cs="仿宋"/>
                <w:color w:val="auto"/>
                <w:sz w:val="24"/>
                <w:szCs w:val="24"/>
                <w:highlight w:val="none"/>
              </w:rPr>
            </w:pPr>
            <w:r>
              <w:rPr>
                <w:rFonts w:hint="eastAsia" w:ascii="仿宋" w:hAnsi="仿宋" w:eastAsia="仿宋" w:cs="仿宋"/>
                <w:color w:val="000000"/>
                <w:sz w:val="24"/>
                <w:szCs w:val="24"/>
              </w:rPr>
              <w:t>设计及技术部分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70</w:t>
            </w:r>
            <w:r>
              <w:rPr>
                <w:rFonts w:hint="eastAsia" w:ascii="仿宋" w:hAnsi="仿宋" w:eastAsia="仿宋" w:cs="仿宋"/>
                <w:color w:val="auto"/>
                <w:sz w:val="24"/>
                <w:szCs w:val="24"/>
                <w:highlight w:val="none"/>
              </w:rPr>
              <w:t>分</w:t>
            </w:r>
          </w:p>
          <w:p w14:paraId="73E0F0BE">
            <w:pPr>
              <w:pStyle w:val="11"/>
              <w:keepNext w:val="0"/>
              <w:keepLines w:val="0"/>
              <w:suppressLineNumbers w:val="0"/>
              <w:spacing w:before="0" w:beforeAutospacing="0" w:after="0" w:afterAutospacing="0"/>
              <w:ind w:left="0" w:right="0"/>
              <w:rPr>
                <w:rFonts w:hint="eastAsia" w:ascii="仿宋" w:hAnsi="仿宋" w:eastAsia="仿宋" w:cs="仿宋"/>
                <w:color w:val="auto"/>
                <w:sz w:val="24"/>
                <w:szCs w:val="24"/>
                <w:highlight w:val="none"/>
              </w:rPr>
            </w:pPr>
            <w:r>
              <w:rPr>
                <w:rFonts w:hint="eastAsia" w:ascii="仿宋" w:hAnsi="仿宋" w:eastAsia="仿宋" w:cs="仿宋"/>
                <w:color w:val="000000"/>
                <w:sz w:val="24"/>
                <w:szCs w:val="24"/>
              </w:rPr>
              <w:t>投标报价</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30</w:t>
            </w:r>
            <w:r>
              <w:rPr>
                <w:rFonts w:hint="eastAsia" w:ascii="仿宋" w:hAnsi="仿宋" w:eastAsia="仿宋" w:cs="仿宋"/>
                <w:color w:val="auto"/>
                <w:sz w:val="24"/>
                <w:szCs w:val="24"/>
                <w:highlight w:val="none"/>
              </w:rPr>
              <w:t>分</w:t>
            </w:r>
          </w:p>
        </w:tc>
        <w:tc>
          <w:tcPr>
            <w:tcW w:w="1141" w:type="dxa"/>
            <w:noWrap/>
            <w:vAlign w:val="center"/>
          </w:tcPr>
          <w:p w14:paraId="3381A908">
            <w:pPr>
              <w:keepNext w:val="0"/>
              <w:keepLines w:val="0"/>
              <w:widowControl/>
              <w:suppressLineNumbers w:val="0"/>
              <w:adjustRightInd w:val="0"/>
              <w:snapToGrid w:val="0"/>
              <w:spacing w:before="0" w:beforeAutospacing="0" w:after="0" w:afterAutospacing="0" w:line="300" w:lineRule="auto"/>
              <w:ind w:left="0" w:right="0"/>
              <w:jc w:val="center"/>
              <w:rPr>
                <w:rFonts w:hint="eastAsia" w:ascii="仿宋" w:hAnsi="仿宋" w:eastAsia="仿宋" w:cs="仿宋"/>
                <w:color w:val="auto"/>
                <w:kern w:val="0"/>
                <w:sz w:val="24"/>
                <w:szCs w:val="24"/>
                <w:highlight w:val="none"/>
              </w:rPr>
            </w:pPr>
          </w:p>
        </w:tc>
      </w:tr>
      <w:tr w14:paraId="07050F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56" w:type="dxa"/>
            <w:noWrap/>
            <w:vAlign w:val="center"/>
          </w:tcPr>
          <w:p w14:paraId="4CAEE38A">
            <w:pPr>
              <w:keepNext w:val="0"/>
              <w:keepLines w:val="0"/>
              <w:suppressLineNumbers w:val="0"/>
              <w:adjustRightInd w:val="0"/>
              <w:snapToGrid w:val="0"/>
              <w:spacing w:before="0" w:beforeAutospacing="0" w:after="0" w:afterAutospacing="0" w:line="30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1464" w:type="dxa"/>
            <w:noWrap/>
            <w:vAlign w:val="center"/>
          </w:tcPr>
          <w:p w14:paraId="0ADA4B8B">
            <w:pPr>
              <w:pStyle w:val="11"/>
              <w:keepNext w:val="0"/>
              <w:keepLines w:val="0"/>
              <w:suppressLineNumbers w:val="0"/>
              <w:spacing w:before="0" w:beforeAutospacing="0" w:after="0" w:afterAutospacing="0"/>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响应报价得分计算方法（</w:t>
            </w:r>
            <w:r>
              <w:rPr>
                <w:rFonts w:hint="eastAsia" w:ascii="仿宋" w:hAnsi="仿宋" w:eastAsia="仿宋" w:cs="仿宋"/>
                <w:color w:val="auto"/>
                <w:sz w:val="24"/>
                <w:szCs w:val="24"/>
                <w:highlight w:val="none"/>
                <w:lang w:val="en-US" w:eastAsia="zh-CN"/>
              </w:rPr>
              <w:t>30</w:t>
            </w:r>
            <w:r>
              <w:rPr>
                <w:rFonts w:hint="eastAsia" w:ascii="仿宋" w:hAnsi="仿宋" w:eastAsia="仿宋" w:cs="仿宋"/>
                <w:color w:val="auto"/>
                <w:sz w:val="24"/>
                <w:szCs w:val="24"/>
                <w:highlight w:val="none"/>
              </w:rPr>
              <w:t>分）</w:t>
            </w:r>
          </w:p>
        </w:tc>
        <w:tc>
          <w:tcPr>
            <w:tcW w:w="6162" w:type="dxa"/>
            <w:noWrap/>
            <w:vAlign w:val="center"/>
          </w:tcPr>
          <w:p w14:paraId="33D24FE4">
            <w:pPr>
              <w:pStyle w:val="11"/>
              <w:keepNext w:val="0"/>
              <w:keepLines w:val="0"/>
              <w:suppressLineNumbers w:val="0"/>
              <w:spacing w:before="0" w:beforeAutospacing="0" w:after="0" w:afterAutospacing="0"/>
              <w:ind w:left="0" w:right="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满足磋商文件要求且最后报价最低的供应商的价格为磋商基准价，其响应价格分为满分。其他供应商的价格分统一按照下列公式计算：</w:t>
            </w:r>
          </w:p>
          <w:p w14:paraId="1DC48ADE">
            <w:pPr>
              <w:pStyle w:val="11"/>
              <w:keepNext w:val="0"/>
              <w:keepLines w:val="0"/>
              <w:suppressLineNumbers w:val="0"/>
              <w:spacing w:before="0" w:beforeAutospacing="0" w:after="0" w:afterAutospacing="0"/>
              <w:ind w:left="0" w:right="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投标报价得分＝（评标基准价/投标报价）×投标报价满分。</w:t>
            </w:r>
          </w:p>
        </w:tc>
        <w:tc>
          <w:tcPr>
            <w:tcW w:w="1141" w:type="dxa"/>
            <w:noWrap/>
            <w:vAlign w:val="center"/>
          </w:tcPr>
          <w:p w14:paraId="52415D7E">
            <w:pPr>
              <w:keepNext w:val="0"/>
              <w:keepLines w:val="0"/>
              <w:suppressLineNumbers w:val="0"/>
              <w:adjustRightInd w:val="0"/>
              <w:snapToGrid w:val="0"/>
              <w:spacing w:before="0" w:beforeAutospacing="0" w:after="0" w:afterAutospacing="0" w:line="30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0-</w:t>
            </w:r>
            <w:r>
              <w:rPr>
                <w:rFonts w:hint="eastAsia" w:ascii="仿宋" w:hAnsi="仿宋" w:eastAsia="仿宋" w:cs="仿宋"/>
                <w:color w:val="auto"/>
                <w:sz w:val="24"/>
                <w:szCs w:val="24"/>
                <w:highlight w:val="none"/>
                <w:lang w:val="en-US" w:eastAsia="zh-CN"/>
              </w:rPr>
              <w:t>30</w:t>
            </w:r>
            <w:r>
              <w:rPr>
                <w:rFonts w:hint="eastAsia" w:ascii="仿宋" w:hAnsi="仿宋" w:eastAsia="仿宋" w:cs="仿宋"/>
                <w:color w:val="auto"/>
                <w:sz w:val="24"/>
                <w:szCs w:val="24"/>
                <w:highlight w:val="none"/>
              </w:rPr>
              <w:t>分</w:t>
            </w:r>
          </w:p>
        </w:tc>
      </w:tr>
      <w:tr w14:paraId="4F977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56" w:type="dxa"/>
            <w:noWrap/>
            <w:vAlign w:val="center"/>
          </w:tcPr>
          <w:p w14:paraId="13B1FCDC">
            <w:pPr>
              <w:keepNext w:val="0"/>
              <w:keepLines w:val="0"/>
              <w:suppressLineNumbers w:val="0"/>
              <w:adjustRightInd w:val="0"/>
              <w:snapToGrid w:val="0"/>
              <w:spacing w:before="0" w:beforeAutospacing="0" w:after="0" w:afterAutospacing="0" w:line="300" w:lineRule="auto"/>
              <w:ind w:left="0" w:right="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序号</w:t>
            </w:r>
          </w:p>
        </w:tc>
        <w:tc>
          <w:tcPr>
            <w:tcW w:w="1464" w:type="dxa"/>
            <w:noWrap/>
            <w:vAlign w:val="center"/>
          </w:tcPr>
          <w:p w14:paraId="53F991AA">
            <w:pPr>
              <w:keepNext w:val="0"/>
              <w:keepLines w:val="0"/>
              <w:suppressLineNumbers w:val="0"/>
              <w:adjustRightInd w:val="0"/>
              <w:snapToGrid w:val="0"/>
              <w:spacing w:before="0" w:beforeAutospacing="0" w:after="0" w:afterAutospacing="0" w:line="300" w:lineRule="auto"/>
              <w:ind w:left="0" w:right="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内容</w:t>
            </w:r>
          </w:p>
        </w:tc>
        <w:tc>
          <w:tcPr>
            <w:tcW w:w="6162" w:type="dxa"/>
            <w:noWrap/>
            <w:vAlign w:val="center"/>
          </w:tcPr>
          <w:p w14:paraId="239850FD">
            <w:pPr>
              <w:keepNext w:val="0"/>
              <w:keepLines w:val="0"/>
              <w:suppressLineNumbers w:val="0"/>
              <w:adjustRightInd w:val="0"/>
              <w:snapToGrid w:val="0"/>
              <w:spacing w:before="0" w:beforeAutospacing="0" w:after="0" w:afterAutospacing="0" w:line="300" w:lineRule="auto"/>
              <w:ind w:left="0" w:right="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编列内容</w:t>
            </w:r>
          </w:p>
        </w:tc>
        <w:tc>
          <w:tcPr>
            <w:tcW w:w="1141" w:type="dxa"/>
            <w:noWrap/>
            <w:vAlign w:val="center"/>
          </w:tcPr>
          <w:p w14:paraId="749EA7BC">
            <w:pPr>
              <w:keepNext w:val="0"/>
              <w:keepLines w:val="0"/>
              <w:widowControl/>
              <w:suppressLineNumbers w:val="0"/>
              <w:adjustRightInd w:val="0"/>
              <w:snapToGrid w:val="0"/>
              <w:spacing w:before="0" w:beforeAutospacing="0" w:after="0" w:afterAutospacing="0" w:line="300" w:lineRule="auto"/>
              <w:ind w:left="0" w:right="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分值</w:t>
            </w:r>
          </w:p>
        </w:tc>
      </w:tr>
      <w:tr w14:paraId="2BBD7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56" w:type="dxa"/>
            <w:noWrap/>
            <w:vAlign w:val="center"/>
          </w:tcPr>
          <w:p w14:paraId="4B9B244E">
            <w:pPr>
              <w:keepNext w:val="0"/>
              <w:keepLines w:val="0"/>
              <w:suppressLineNumbers w:val="0"/>
              <w:adjustRightInd w:val="0"/>
              <w:snapToGrid w:val="0"/>
              <w:spacing w:before="0" w:beforeAutospacing="0" w:after="0" w:afterAutospacing="0" w:line="300" w:lineRule="auto"/>
              <w:ind w:left="0" w:right="0"/>
              <w:jc w:val="center"/>
              <w:rPr>
                <w:rFonts w:hint="eastAsia" w:ascii="仿宋" w:hAnsi="仿宋" w:eastAsia="仿宋" w:cs="仿宋"/>
                <w:b/>
                <w:color w:val="auto"/>
                <w:sz w:val="24"/>
                <w:szCs w:val="24"/>
                <w:highlight w:val="none"/>
              </w:rPr>
            </w:pPr>
          </w:p>
        </w:tc>
        <w:tc>
          <w:tcPr>
            <w:tcW w:w="7626" w:type="dxa"/>
            <w:gridSpan w:val="2"/>
            <w:noWrap/>
            <w:vAlign w:val="center"/>
          </w:tcPr>
          <w:p w14:paraId="4BB47914">
            <w:pPr>
              <w:keepNext w:val="0"/>
              <w:keepLines w:val="0"/>
              <w:suppressLineNumbers w:val="0"/>
              <w:adjustRightInd w:val="0"/>
              <w:snapToGrid w:val="0"/>
              <w:spacing w:before="0" w:beforeAutospacing="0" w:after="0" w:afterAutospacing="0" w:line="300" w:lineRule="auto"/>
              <w:ind w:left="0" w:right="0"/>
              <w:jc w:val="left"/>
              <w:rPr>
                <w:rFonts w:hint="eastAsia" w:ascii="仿宋" w:hAnsi="仿宋" w:eastAsia="仿宋" w:cs="仿宋"/>
                <w:b/>
                <w:color w:val="auto"/>
                <w:sz w:val="24"/>
                <w:szCs w:val="24"/>
                <w:highlight w:val="none"/>
                <w:lang w:eastAsia="zh-CN"/>
              </w:rPr>
            </w:pP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企业实力与服务保障</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30</w:t>
            </w:r>
            <w:r>
              <w:rPr>
                <w:rFonts w:hint="eastAsia" w:ascii="仿宋" w:hAnsi="仿宋" w:eastAsia="仿宋" w:cs="仿宋"/>
                <w:color w:val="000000"/>
                <w:sz w:val="24"/>
                <w:szCs w:val="24"/>
              </w:rPr>
              <w:t>分</w:t>
            </w:r>
            <w:r>
              <w:rPr>
                <w:rFonts w:hint="eastAsia" w:ascii="仿宋" w:hAnsi="仿宋" w:eastAsia="仿宋" w:cs="仿宋"/>
                <w:color w:val="000000"/>
                <w:sz w:val="24"/>
                <w:szCs w:val="24"/>
                <w:lang w:eastAsia="zh-CN"/>
              </w:rPr>
              <w:t>）</w:t>
            </w:r>
          </w:p>
        </w:tc>
        <w:tc>
          <w:tcPr>
            <w:tcW w:w="1141" w:type="dxa"/>
            <w:noWrap/>
            <w:vAlign w:val="center"/>
          </w:tcPr>
          <w:p w14:paraId="5FB90834">
            <w:pPr>
              <w:keepNext w:val="0"/>
              <w:keepLines w:val="0"/>
              <w:widowControl/>
              <w:suppressLineNumbers w:val="0"/>
              <w:adjustRightInd w:val="0"/>
              <w:snapToGrid w:val="0"/>
              <w:spacing w:before="0" w:beforeAutospacing="0" w:after="0" w:afterAutospacing="0" w:line="300" w:lineRule="auto"/>
              <w:ind w:left="0" w:right="0"/>
              <w:jc w:val="center"/>
              <w:rPr>
                <w:rFonts w:hint="eastAsia" w:ascii="仿宋" w:hAnsi="仿宋" w:eastAsia="仿宋" w:cs="仿宋"/>
                <w:b/>
                <w:color w:val="auto"/>
                <w:kern w:val="0"/>
                <w:sz w:val="24"/>
                <w:szCs w:val="24"/>
                <w:highlight w:val="none"/>
              </w:rPr>
            </w:pPr>
          </w:p>
        </w:tc>
      </w:tr>
      <w:tr w14:paraId="1313F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56" w:type="dxa"/>
            <w:noWrap/>
            <w:vAlign w:val="center"/>
          </w:tcPr>
          <w:p w14:paraId="225E3AE5">
            <w:pPr>
              <w:keepNext w:val="0"/>
              <w:keepLines w:val="0"/>
              <w:suppressLineNumbers w:val="0"/>
              <w:adjustRightInd w:val="0"/>
              <w:snapToGrid w:val="0"/>
              <w:spacing w:before="0" w:beforeAutospacing="0" w:after="0" w:afterAutospacing="0" w:line="300" w:lineRule="auto"/>
              <w:ind w:left="0" w:right="0"/>
              <w:jc w:val="center"/>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lang w:val="en-US" w:eastAsia="zh-CN"/>
              </w:rPr>
              <w:t>1</w:t>
            </w:r>
          </w:p>
        </w:tc>
        <w:tc>
          <w:tcPr>
            <w:tcW w:w="1464" w:type="dxa"/>
            <w:noWrap/>
            <w:vAlign w:val="center"/>
          </w:tcPr>
          <w:p w14:paraId="433BEE92">
            <w:pPr>
              <w:keepNext w:val="0"/>
              <w:keepLines w:val="0"/>
              <w:suppressLineNumbers w:val="0"/>
              <w:spacing w:before="0" w:beforeAutospacing="0" w:after="0" w:afterAutospacing="0" w:line="240" w:lineRule="auto"/>
              <w:ind w:left="0" w:right="0"/>
              <w:jc w:val="center"/>
              <w:rPr>
                <w:rFonts w:hint="eastAsia" w:ascii="仿宋" w:hAnsi="仿宋" w:eastAsia="仿宋" w:cs="仿宋"/>
                <w:bCs/>
                <w:sz w:val="24"/>
                <w:szCs w:val="24"/>
              </w:rPr>
            </w:pPr>
            <w:r>
              <w:rPr>
                <w:rFonts w:hint="eastAsia" w:ascii="仿宋" w:hAnsi="仿宋" w:eastAsia="仿宋" w:cs="仿宋"/>
                <w:bCs/>
                <w:sz w:val="24"/>
                <w:szCs w:val="24"/>
              </w:rPr>
              <w:t>供应商</w:t>
            </w:r>
          </w:p>
          <w:p w14:paraId="366AED9D">
            <w:pPr>
              <w:keepNext w:val="0"/>
              <w:keepLines w:val="0"/>
              <w:suppressLineNumbers w:val="0"/>
              <w:spacing w:before="0" w:beforeAutospacing="0" w:after="0" w:afterAutospacing="0" w:line="240" w:lineRule="auto"/>
              <w:ind w:left="0" w:right="0"/>
              <w:jc w:val="center"/>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rPr>
              <w:t>业绩</w:t>
            </w:r>
          </w:p>
        </w:tc>
        <w:tc>
          <w:tcPr>
            <w:tcW w:w="6162" w:type="dxa"/>
            <w:noWrap/>
            <w:vAlign w:val="center"/>
          </w:tcPr>
          <w:p w14:paraId="33D6B492">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jc w:val="left"/>
              <w:textAlignment w:val="auto"/>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自2022年1月1日以来（以合同签订时间为准），供应商承担过整体园区类导视标识标牌统一设计及施工一体化项目的，每提供1个有效业绩证明（中标通知书及合同关键页复印件，加盖供应商公章）得3分，最高得9分；</w:t>
            </w:r>
          </w:p>
          <w:p w14:paraId="0370ACC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jc w:val="left"/>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w:t>
            </w:r>
            <w:r>
              <w:rPr>
                <w:rFonts w:hint="eastAsia" w:ascii="仿宋" w:hAnsi="仿宋" w:eastAsia="仿宋" w:cs="仿宋"/>
                <w:color w:val="000000"/>
                <w:kern w:val="0"/>
                <w:sz w:val="24"/>
                <w:szCs w:val="24"/>
                <w:lang w:bidi="ar"/>
              </w:rPr>
              <w:t>上述经</w:t>
            </w:r>
            <w:r>
              <w:rPr>
                <w:rFonts w:hint="eastAsia" w:ascii="仿宋" w:hAnsi="仿宋" w:eastAsia="仿宋" w:cs="仿宋"/>
                <w:color w:val="000000"/>
                <w:kern w:val="0"/>
                <w:sz w:val="24"/>
                <w:szCs w:val="24"/>
                <w:lang w:val="en-US" w:eastAsia="zh-CN" w:bidi="ar"/>
              </w:rPr>
              <w:t>磋商</w:t>
            </w:r>
            <w:r>
              <w:rPr>
                <w:rFonts w:hint="eastAsia" w:ascii="仿宋" w:hAnsi="仿宋" w:eastAsia="仿宋" w:cs="仿宋"/>
                <w:color w:val="000000"/>
                <w:kern w:val="0"/>
                <w:sz w:val="24"/>
                <w:szCs w:val="24"/>
                <w:lang w:bidi="ar"/>
              </w:rPr>
              <w:t>小组评审认可的服务业绩，供应商提供的业主反馈意见为正面评价（如优秀、满意等）的，每提供1个</w:t>
            </w:r>
            <w:r>
              <w:rPr>
                <w:rFonts w:hint="eastAsia" w:ascii="仿宋" w:hAnsi="仿宋" w:eastAsia="仿宋" w:cs="仿宋"/>
                <w:kern w:val="0"/>
                <w:sz w:val="24"/>
                <w:szCs w:val="24"/>
                <w:lang w:val="en-US" w:eastAsia="zh-CN"/>
              </w:rPr>
              <w:t>得</w:t>
            </w:r>
            <w:r>
              <w:rPr>
                <w:rFonts w:hint="eastAsia" w:ascii="仿宋" w:hAnsi="仿宋" w:eastAsia="仿宋" w:cs="仿宋"/>
                <w:color w:val="000000"/>
                <w:kern w:val="0"/>
                <w:sz w:val="24"/>
                <w:szCs w:val="24"/>
                <w:lang w:val="en-US" w:eastAsia="zh-CN" w:bidi="ar"/>
              </w:rPr>
              <w:t>2</w:t>
            </w:r>
            <w:r>
              <w:rPr>
                <w:rFonts w:hint="eastAsia" w:ascii="仿宋" w:hAnsi="仿宋" w:eastAsia="仿宋" w:cs="仿宋"/>
                <w:color w:val="000000"/>
                <w:kern w:val="0"/>
                <w:sz w:val="24"/>
                <w:szCs w:val="24"/>
                <w:lang w:bidi="ar"/>
              </w:rPr>
              <w:t>分，满分</w:t>
            </w:r>
            <w:r>
              <w:rPr>
                <w:rFonts w:hint="eastAsia" w:ascii="仿宋" w:hAnsi="仿宋" w:eastAsia="仿宋" w:cs="仿宋"/>
                <w:color w:val="000000"/>
                <w:kern w:val="0"/>
                <w:sz w:val="24"/>
                <w:szCs w:val="24"/>
                <w:lang w:val="en-US" w:eastAsia="zh-CN" w:bidi="ar"/>
              </w:rPr>
              <w:t>6</w:t>
            </w:r>
            <w:r>
              <w:rPr>
                <w:rFonts w:hint="eastAsia" w:ascii="仿宋" w:hAnsi="仿宋" w:eastAsia="仿宋" w:cs="仿宋"/>
                <w:color w:val="000000"/>
                <w:kern w:val="0"/>
                <w:sz w:val="24"/>
                <w:szCs w:val="24"/>
                <w:lang w:bidi="ar"/>
              </w:rPr>
              <w:t>分。</w:t>
            </w:r>
          </w:p>
          <w:p w14:paraId="55AD0022">
            <w:pPr>
              <w:keepNext w:val="0"/>
              <w:keepLines w:val="0"/>
              <w:widowControl/>
              <w:suppressLineNumbers w:val="0"/>
              <w:spacing w:before="0" w:beforeAutospacing="0" w:after="0" w:afterAutospacing="0" w:line="240" w:lineRule="auto"/>
              <w:ind w:left="0" w:right="0"/>
              <w:jc w:val="left"/>
              <w:rPr>
                <w:rFonts w:hint="eastAsia" w:ascii="仿宋" w:hAnsi="仿宋" w:eastAsia="仿宋" w:cs="仿宋"/>
                <w:b/>
                <w:bCs/>
                <w:sz w:val="24"/>
                <w:szCs w:val="24"/>
              </w:rPr>
            </w:pPr>
            <w:r>
              <w:rPr>
                <w:rFonts w:hint="eastAsia" w:ascii="仿宋" w:hAnsi="仿宋" w:eastAsia="仿宋" w:cs="仿宋"/>
                <w:b/>
                <w:bCs/>
                <w:sz w:val="24"/>
                <w:szCs w:val="24"/>
              </w:rPr>
              <w:t>注：</w:t>
            </w:r>
          </w:p>
          <w:p w14:paraId="5A43B470">
            <w:pPr>
              <w:keepNext w:val="0"/>
              <w:keepLines w:val="0"/>
              <w:widowControl/>
              <w:suppressLineNumbers w:val="0"/>
              <w:spacing w:before="0" w:beforeAutospacing="0" w:after="0" w:afterAutospacing="0" w:line="240" w:lineRule="auto"/>
              <w:ind w:left="0" w:right="0"/>
              <w:jc w:val="left"/>
              <w:rPr>
                <w:rFonts w:hint="eastAsia" w:ascii="仿宋" w:hAnsi="仿宋" w:eastAsia="仿宋" w:cs="仿宋"/>
                <w:b/>
                <w:bCs/>
                <w:kern w:val="0"/>
                <w:sz w:val="24"/>
                <w:szCs w:val="24"/>
              </w:rPr>
            </w:pPr>
            <w:r>
              <w:rPr>
                <w:rFonts w:hint="eastAsia" w:ascii="仿宋" w:hAnsi="仿宋" w:eastAsia="仿宋" w:cs="仿宋"/>
                <w:b/>
                <w:bCs/>
                <w:sz w:val="24"/>
                <w:szCs w:val="24"/>
              </w:rPr>
              <w:t>1.在履约或已履约完毕业绩均予以认可，响应文件中提供加盖业绩合同（或协议）扫描件，若合同中无法体现服务内容等评审因素的，须另提供业主单位（合同甲方）出具的证明材料扫描件。</w:t>
            </w:r>
          </w:p>
          <w:p w14:paraId="42A40C15">
            <w:pPr>
              <w:keepNext w:val="0"/>
              <w:keepLines w:val="0"/>
              <w:widowControl/>
              <w:suppressLineNumbers w:val="0"/>
              <w:spacing w:before="0" w:beforeAutospacing="0" w:after="0" w:afterAutospacing="0" w:line="240" w:lineRule="auto"/>
              <w:ind w:left="0" w:right="0"/>
              <w:jc w:val="left"/>
              <w:rPr>
                <w:rFonts w:hint="eastAsia" w:ascii="仿宋" w:hAnsi="仿宋" w:eastAsia="仿宋" w:cs="仿宋"/>
                <w:sz w:val="24"/>
                <w:szCs w:val="24"/>
                <w:highlight w:val="none"/>
              </w:rPr>
            </w:pPr>
            <w:r>
              <w:rPr>
                <w:rFonts w:hint="eastAsia" w:ascii="仿宋" w:hAnsi="仿宋" w:eastAsia="仿宋" w:cs="仿宋"/>
                <w:b/>
                <w:bCs/>
                <w:sz w:val="24"/>
                <w:szCs w:val="24"/>
              </w:rPr>
              <w:t>2.如为同一项目的续签合同，仅计取一次得分</w:t>
            </w:r>
            <w:r>
              <w:rPr>
                <w:rFonts w:hint="eastAsia" w:ascii="仿宋" w:hAnsi="仿宋" w:eastAsia="仿宋" w:cs="仿宋"/>
                <w:b/>
                <w:bCs/>
                <w:sz w:val="24"/>
                <w:szCs w:val="24"/>
                <w:lang w:eastAsia="zh-CN"/>
              </w:rPr>
              <w:t>；</w:t>
            </w:r>
            <w:r>
              <w:rPr>
                <w:rFonts w:hint="eastAsia" w:ascii="仿宋" w:hAnsi="仿宋" w:eastAsia="仿宋" w:cs="仿宋"/>
                <w:sz w:val="24"/>
                <w:szCs w:val="24"/>
                <w:highlight w:val="none"/>
              </w:rPr>
              <w:t>证明材料不齐全、主体不一致或无法核实的不得分。</w:t>
            </w:r>
          </w:p>
          <w:p w14:paraId="64492F58">
            <w:pPr>
              <w:keepNext w:val="0"/>
              <w:keepLines w:val="0"/>
              <w:widowControl/>
              <w:suppressLineNumbers w:val="0"/>
              <w:spacing w:before="0" w:beforeAutospacing="0" w:after="0" w:afterAutospacing="0" w:line="240" w:lineRule="auto"/>
              <w:ind w:left="0" w:right="0"/>
              <w:jc w:val="left"/>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w:t>
            </w:r>
            <w:r>
              <w:rPr>
                <w:rFonts w:hint="eastAsia" w:ascii="仿宋" w:hAnsi="仿宋" w:eastAsia="仿宋" w:cs="仿宋"/>
                <w:b/>
                <w:bCs/>
                <w:sz w:val="24"/>
                <w:szCs w:val="24"/>
                <w:lang w:bidi="ar"/>
              </w:rPr>
              <w:t>响应文件中提供加盖合同甲方</w:t>
            </w:r>
            <w:r>
              <w:rPr>
                <w:rFonts w:hint="eastAsia" w:ascii="仿宋" w:hAnsi="仿宋" w:eastAsia="仿宋" w:cs="仿宋"/>
                <w:b/>
                <w:bCs/>
                <w:sz w:val="24"/>
                <w:szCs w:val="24"/>
                <w:lang w:eastAsia="zh-CN" w:bidi="ar"/>
              </w:rPr>
              <w:t>（</w:t>
            </w:r>
            <w:r>
              <w:rPr>
                <w:rFonts w:hint="eastAsia" w:ascii="仿宋" w:hAnsi="仿宋" w:eastAsia="仿宋" w:cs="仿宋"/>
                <w:b/>
                <w:bCs/>
                <w:sz w:val="24"/>
                <w:szCs w:val="24"/>
                <w:lang w:bidi="ar"/>
              </w:rPr>
              <w:t>或其</w:t>
            </w:r>
            <w:r>
              <w:rPr>
                <w:rFonts w:hint="eastAsia" w:ascii="仿宋" w:hAnsi="仿宋" w:eastAsia="仿宋" w:cs="仿宋"/>
                <w:b/>
                <w:bCs/>
                <w:sz w:val="24"/>
                <w:szCs w:val="24"/>
                <w:lang w:val="en-US" w:eastAsia="zh-CN" w:bidi="ar"/>
              </w:rPr>
              <w:t>具有该项目管理</w:t>
            </w:r>
            <w:r>
              <w:rPr>
                <w:rFonts w:hint="eastAsia" w:ascii="仿宋" w:hAnsi="仿宋" w:eastAsia="仿宋" w:cs="仿宋"/>
                <w:b/>
                <w:bCs/>
                <w:sz w:val="24"/>
                <w:szCs w:val="24"/>
                <w:lang w:bidi="ar"/>
              </w:rPr>
              <w:t>职能</w:t>
            </w:r>
            <w:r>
              <w:rPr>
                <w:rFonts w:hint="eastAsia" w:ascii="仿宋" w:hAnsi="仿宋" w:eastAsia="仿宋" w:cs="仿宋"/>
                <w:b/>
                <w:bCs/>
                <w:sz w:val="24"/>
                <w:szCs w:val="24"/>
                <w:lang w:val="en-US" w:eastAsia="zh-CN" w:bidi="ar"/>
              </w:rPr>
              <w:t>的</w:t>
            </w:r>
            <w:r>
              <w:rPr>
                <w:rFonts w:hint="eastAsia" w:ascii="仿宋" w:hAnsi="仿宋" w:eastAsia="仿宋" w:cs="仿宋"/>
                <w:b/>
                <w:bCs/>
                <w:sz w:val="24"/>
                <w:szCs w:val="24"/>
                <w:lang w:bidi="ar"/>
              </w:rPr>
              <w:t>部门</w:t>
            </w:r>
            <w:r>
              <w:rPr>
                <w:rFonts w:hint="eastAsia" w:ascii="仿宋" w:hAnsi="仿宋" w:eastAsia="仿宋" w:cs="仿宋"/>
                <w:b/>
                <w:bCs/>
                <w:sz w:val="24"/>
                <w:szCs w:val="24"/>
                <w:lang w:eastAsia="zh-CN" w:bidi="ar"/>
              </w:rPr>
              <w:t>）</w:t>
            </w:r>
            <w:r>
              <w:rPr>
                <w:rFonts w:hint="eastAsia" w:ascii="仿宋" w:hAnsi="仿宋" w:eastAsia="仿宋" w:cs="仿宋"/>
                <w:b/>
                <w:bCs/>
                <w:sz w:val="24"/>
                <w:szCs w:val="24"/>
                <w:lang w:bidi="ar"/>
              </w:rPr>
              <w:t>公章的履约反馈意见证明材料，同一服务业主评价不累计加分。</w:t>
            </w:r>
          </w:p>
        </w:tc>
        <w:tc>
          <w:tcPr>
            <w:tcW w:w="1141" w:type="dxa"/>
            <w:noWrap/>
            <w:vAlign w:val="center"/>
          </w:tcPr>
          <w:p w14:paraId="57910FE7">
            <w:pPr>
              <w:keepNext w:val="0"/>
              <w:keepLines w:val="0"/>
              <w:suppressLineNumbers w:val="0"/>
              <w:spacing w:before="0" w:beforeAutospacing="0" w:after="0" w:afterAutospacing="0" w:line="240" w:lineRule="auto"/>
              <w:ind w:left="0" w:right="0"/>
              <w:jc w:val="center"/>
              <w:textAlignment w:val="center"/>
              <w:rPr>
                <w:rFonts w:hint="eastAsia" w:ascii="仿宋" w:hAnsi="仿宋" w:eastAsia="仿宋" w:cs="仿宋"/>
                <w:kern w:val="2"/>
                <w:sz w:val="24"/>
                <w:szCs w:val="24"/>
                <w:lang w:val="en-US" w:eastAsia="zh-CN" w:bidi="zh-CN"/>
              </w:rPr>
            </w:pPr>
            <w:r>
              <w:rPr>
                <w:rFonts w:hint="eastAsia" w:ascii="仿宋" w:hAnsi="仿宋" w:eastAsia="仿宋" w:cs="仿宋"/>
                <w:sz w:val="24"/>
                <w:szCs w:val="24"/>
                <w:lang w:val="en-US" w:eastAsia="zh-CN"/>
              </w:rPr>
              <w:t>15</w:t>
            </w:r>
            <w:r>
              <w:rPr>
                <w:rFonts w:hint="eastAsia" w:ascii="仿宋" w:hAnsi="仿宋" w:eastAsia="仿宋" w:cs="仿宋"/>
                <w:sz w:val="24"/>
                <w:szCs w:val="24"/>
              </w:rPr>
              <w:t>分</w:t>
            </w:r>
          </w:p>
        </w:tc>
      </w:tr>
      <w:tr w14:paraId="60E72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12" w:hRule="atLeast"/>
          <w:jc w:val="center"/>
        </w:trPr>
        <w:tc>
          <w:tcPr>
            <w:tcW w:w="656" w:type="dxa"/>
            <w:noWrap/>
            <w:vAlign w:val="center"/>
          </w:tcPr>
          <w:p w14:paraId="21F53F60">
            <w:pPr>
              <w:keepNext w:val="0"/>
              <w:keepLines w:val="0"/>
              <w:suppressLineNumbers w:val="0"/>
              <w:adjustRightInd w:val="0"/>
              <w:snapToGrid w:val="0"/>
              <w:spacing w:before="0" w:beforeAutospacing="0" w:after="0" w:afterAutospacing="0" w:line="300" w:lineRule="auto"/>
              <w:ind w:left="0" w:right="0"/>
              <w:jc w:val="center"/>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lang w:val="en-US" w:eastAsia="zh-CN"/>
              </w:rPr>
              <w:t>2</w:t>
            </w:r>
          </w:p>
        </w:tc>
        <w:tc>
          <w:tcPr>
            <w:tcW w:w="1464" w:type="dxa"/>
            <w:shd w:val="clear" w:color="auto" w:fill="auto"/>
            <w:noWrap/>
            <w:vAlign w:val="center"/>
          </w:tcPr>
          <w:p w14:paraId="7660AFC4">
            <w:pPr>
              <w:keepNext w:val="0"/>
              <w:keepLines w:val="0"/>
              <w:suppressLineNumbers w:val="0"/>
              <w:spacing w:before="0" w:beforeAutospacing="0" w:after="0" w:afterAutospacing="0" w:line="240" w:lineRule="auto"/>
              <w:ind w:left="0" w:leftChars="0" w:right="0" w:rightChars="0"/>
              <w:jc w:val="center"/>
              <w:rPr>
                <w:rFonts w:hint="default" w:ascii="仿宋" w:hAnsi="仿宋" w:eastAsia="仿宋" w:cs="仿宋"/>
                <w:kern w:val="2"/>
                <w:sz w:val="24"/>
                <w:szCs w:val="24"/>
                <w:lang w:val="en-US" w:eastAsia="zh-CN" w:bidi="ar-SA"/>
              </w:rPr>
            </w:pPr>
            <w:r>
              <w:rPr>
                <w:rFonts w:hint="eastAsia" w:ascii="仿宋" w:hAnsi="仿宋" w:eastAsia="仿宋" w:cs="仿宋"/>
                <w:sz w:val="24"/>
                <w:szCs w:val="24"/>
              </w:rPr>
              <w:t>人员配备</w:t>
            </w:r>
          </w:p>
        </w:tc>
        <w:tc>
          <w:tcPr>
            <w:tcW w:w="6162" w:type="dxa"/>
            <w:shd w:val="clear" w:color="auto" w:fill="auto"/>
            <w:noWrap/>
            <w:vAlign w:val="center"/>
          </w:tcPr>
          <w:p w14:paraId="7228C90A">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jc w:val="left"/>
              <w:textAlignment w:val="auto"/>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1.拟派本项目安装团队不少于5人的，得4分；</w:t>
            </w:r>
          </w:p>
          <w:p w14:paraId="4647BE1B">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jc w:val="left"/>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2.拟派本项目安装作业团队中，持有以下作业资质：①高空作业②焊接③电工的，每提供1人有效证件得1分，最多得4分。拟派安装作业成员所持作业资质能覆盖上述作业资质的，得2分。</w:t>
            </w:r>
          </w:p>
          <w:p w14:paraId="316F09C3">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firstLine="0" w:firstLineChars="0"/>
              <w:jc w:val="left"/>
              <w:textAlignment w:val="auto"/>
              <w:rPr>
                <w:rFonts w:hint="eastAsia" w:ascii="仿宋" w:hAnsi="仿宋" w:eastAsia="仿宋" w:cs="仿宋"/>
                <w:kern w:val="2"/>
                <w:sz w:val="24"/>
                <w:szCs w:val="24"/>
                <w:lang w:val="en-US" w:eastAsia="zh-CN" w:bidi="ar-SA"/>
              </w:rPr>
            </w:pPr>
            <w:r>
              <w:rPr>
                <w:rFonts w:hint="eastAsia" w:ascii="仿宋" w:hAnsi="仿宋" w:eastAsia="仿宋" w:cs="仿宋"/>
                <w:b/>
                <w:bCs/>
                <w:sz w:val="24"/>
                <w:szCs w:val="24"/>
                <w:lang w:bidi="ar"/>
              </w:rPr>
              <w:t>注：</w:t>
            </w:r>
            <w:r>
              <w:rPr>
                <w:rFonts w:hint="eastAsia" w:ascii="仿宋" w:hAnsi="仿宋" w:eastAsia="仿宋" w:cs="仿宋"/>
                <w:kern w:val="0"/>
                <w:sz w:val="24"/>
                <w:szCs w:val="24"/>
                <w:lang w:val="en-US" w:eastAsia="zh-CN"/>
              </w:rPr>
              <w:t>团队成员可提供劳动合同、劳务合同等证明材料；人证不符或超出有效期的不得分。</w:t>
            </w:r>
          </w:p>
        </w:tc>
        <w:tc>
          <w:tcPr>
            <w:tcW w:w="1141" w:type="dxa"/>
            <w:shd w:val="clear" w:color="auto" w:fill="auto"/>
            <w:noWrap/>
            <w:vAlign w:val="center"/>
          </w:tcPr>
          <w:p w14:paraId="6301047F">
            <w:pPr>
              <w:keepNext w:val="0"/>
              <w:keepLines w:val="0"/>
              <w:suppressLineNumbers w:val="0"/>
              <w:spacing w:before="0" w:beforeAutospacing="0" w:after="0" w:afterAutospacing="0" w:line="240" w:lineRule="auto"/>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sz w:val="24"/>
                <w:szCs w:val="24"/>
                <w:lang w:val="en-US" w:eastAsia="zh-CN"/>
              </w:rPr>
              <w:t>10</w:t>
            </w:r>
            <w:r>
              <w:rPr>
                <w:rFonts w:hint="eastAsia" w:ascii="仿宋" w:hAnsi="仿宋" w:eastAsia="仿宋" w:cs="仿宋"/>
                <w:sz w:val="24"/>
                <w:szCs w:val="24"/>
              </w:rPr>
              <w:t>分</w:t>
            </w:r>
          </w:p>
        </w:tc>
      </w:tr>
      <w:tr w14:paraId="30A08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56" w:type="dxa"/>
            <w:noWrap/>
            <w:vAlign w:val="center"/>
          </w:tcPr>
          <w:p w14:paraId="150AD9B3">
            <w:pPr>
              <w:keepNext w:val="0"/>
              <w:keepLines w:val="0"/>
              <w:suppressLineNumbers w:val="0"/>
              <w:adjustRightInd w:val="0"/>
              <w:snapToGrid w:val="0"/>
              <w:spacing w:before="0" w:beforeAutospacing="0" w:after="0" w:afterAutospacing="0" w:line="300" w:lineRule="auto"/>
              <w:ind w:left="0" w:right="0"/>
              <w:jc w:val="center"/>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3</w:t>
            </w:r>
          </w:p>
        </w:tc>
        <w:tc>
          <w:tcPr>
            <w:tcW w:w="1464" w:type="dxa"/>
            <w:shd w:val="clear" w:color="auto" w:fill="auto"/>
            <w:noWrap/>
            <w:vAlign w:val="center"/>
          </w:tcPr>
          <w:p w14:paraId="71F60ADA">
            <w:pPr>
              <w:keepNext w:val="0"/>
              <w:keepLines w:val="0"/>
              <w:widowControl/>
              <w:suppressLineNumbers w:val="0"/>
              <w:spacing w:before="0" w:beforeAutospacing="0" w:after="0" w:afterAutospacing="0" w:line="240" w:lineRule="auto"/>
              <w:ind w:left="0" w:right="0"/>
              <w:jc w:val="center"/>
              <w:rPr>
                <w:rFonts w:hint="eastAsia"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供应商</w:t>
            </w:r>
          </w:p>
          <w:p w14:paraId="22F6C9EC">
            <w:pPr>
              <w:keepNext w:val="0"/>
              <w:keepLines w:val="0"/>
              <w:suppressLineNumbers w:val="0"/>
              <w:spacing w:before="0" w:beforeAutospacing="0" w:after="0" w:afterAutospacing="0" w:line="240" w:lineRule="auto"/>
              <w:ind w:left="0" w:leftChars="0" w:right="0" w:rightChars="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bidi="ar"/>
              </w:rPr>
              <w:t>企业资信</w:t>
            </w:r>
          </w:p>
        </w:tc>
        <w:tc>
          <w:tcPr>
            <w:tcW w:w="6162" w:type="dxa"/>
            <w:shd w:val="clear" w:color="auto" w:fill="auto"/>
            <w:noWrap/>
            <w:vAlign w:val="center"/>
          </w:tcPr>
          <w:p w14:paraId="06819903">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jc w:val="left"/>
              <w:textAlignment w:val="auto"/>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1.供应商具备经中国国家认证认可监督管理委员会认证机构颁发的有效期内的质量管理体系认证证书得2分。</w:t>
            </w:r>
          </w:p>
          <w:p w14:paraId="4751346D">
            <w:pPr>
              <w:keepNext w:val="0"/>
              <w:keepLines w:val="0"/>
              <w:widowControl/>
              <w:numPr>
                <w:ilvl w:val="0"/>
                <w:numId w:val="0"/>
              </w:numPr>
              <w:suppressLineNumbers w:val="0"/>
              <w:snapToGrid w:val="0"/>
              <w:spacing w:before="0" w:beforeAutospacing="0" w:after="0" w:afterAutospacing="0" w:line="288" w:lineRule="auto"/>
              <w:ind w:left="0" w:leftChars="0" w:right="0" w:rightChars="0"/>
              <w:jc w:val="left"/>
              <w:rPr>
                <w:rFonts w:hint="eastAsia" w:ascii="仿宋" w:hAnsi="仿宋" w:eastAsia="仿宋" w:cs="仿宋"/>
                <w:kern w:val="2"/>
                <w:sz w:val="24"/>
                <w:szCs w:val="24"/>
                <w:lang w:val="en-US" w:eastAsia="zh-CN" w:bidi="ar-SA"/>
              </w:rPr>
            </w:pPr>
            <w:r>
              <w:rPr>
                <w:rFonts w:hint="eastAsia" w:ascii="仿宋" w:hAnsi="仿宋" w:eastAsia="仿宋" w:cs="仿宋"/>
                <w:b/>
                <w:bCs/>
                <w:color w:val="000000"/>
                <w:kern w:val="0"/>
                <w:sz w:val="24"/>
                <w:szCs w:val="24"/>
                <w:lang w:bidi="ar"/>
              </w:rPr>
              <w:t>注：响应文件中提供以上证书扫描件及全国认证认可信息公共服务平台官网证书信息查询截图，未提供或提供不全的不得分。</w:t>
            </w:r>
          </w:p>
        </w:tc>
        <w:tc>
          <w:tcPr>
            <w:tcW w:w="1141" w:type="dxa"/>
            <w:shd w:val="clear" w:color="auto" w:fill="auto"/>
            <w:noWrap/>
            <w:vAlign w:val="center"/>
          </w:tcPr>
          <w:p w14:paraId="759534D3">
            <w:pPr>
              <w:keepNext w:val="0"/>
              <w:keepLines w:val="0"/>
              <w:widowControl/>
              <w:suppressLineNumbers w:val="0"/>
              <w:adjustRightInd w:val="0"/>
              <w:snapToGrid w:val="0"/>
              <w:spacing w:before="0" w:beforeAutospacing="0" w:after="0" w:afterAutospacing="0" w:line="240" w:lineRule="auto"/>
              <w:ind w:left="0" w:leftChars="0" w:right="0" w:rightChars="0"/>
              <w:jc w:val="center"/>
              <w:rPr>
                <w:rFonts w:hint="eastAsia" w:ascii="仿宋" w:hAnsi="仿宋" w:eastAsia="仿宋" w:cs="仿宋"/>
                <w:kern w:val="2"/>
                <w:sz w:val="24"/>
                <w:szCs w:val="24"/>
                <w:lang w:val="en-US" w:eastAsia="zh-CN" w:bidi="ar-SA"/>
              </w:rPr>
            </w:pPr>
            <w:r>
              <w:rPr>
                <w:rFonts w:hint="eastAsia" w:ascii="仿宋" w:hAnsi="仿宋" w:eastAsia="仿宋" w:cs="仿宋"/>
                <w:bCs/>
                <w:sz w:val="24"/>
                <w:szCs w:val="24"/>
                <w:lang w:val="en-US" w:eastAsia="zh-CN"/>
              </w:rPr>
              <w:t>2</w:t>
            </w:r>
            <w:r>
              <w:rPr>
                <w:rFonts w:hint="eastAsia" w:ascii="仿宋" w:hAnsi="仿宋" w:eastAsia="仿宋" w:cs="仿宋"/>
                <w:bCs/>
                <w:sz w:val="24"/>
                <w:szCs w:val="24"/>
              </w:rPr>
              <w:t>分</w:t>
            </w:r>
          </w:p>
        </w:tc>
      </w:tr>
      <w:tr w14:paraId="72FA59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56" w:type="dxa"/>
            <w:noWrap/>
            <w:vAlign w:val="center"/>
          </w:tcPr>
          <w:p w14:paraId="391C7354">
            <w:pPr>
              <w:keepNext w:val="0"/>
              <w:keepLines w:val="0"/>
              <w:suppressLineNumbers w:val="0"/>
              <w:adjustRightInd w:val="0"/>
              <w:snapToGrid w:val="0"/>
              <w:spacing w:before="0" w:beforeAutospacing="0" w:after="0" w:afterAutospacing="0" w:line="300" w:lineRule="auto"/>
              <w:ind w:left="0" w:right="0"/>
              <w:jc w:val="center"/>
              <w:rPr>
                <w:rFonts w:hint="eastAsia" w:ascii="仿宋" w:hAnsi="仿宋" w:eastAsia="仿宋" w:cs="仿宋"/>
                <w:bCs/>
                <w:color w:val="auto"/>
                <w:sz w:val="24"/>
                <w:szCs w:val="24"/>
                <w:highlight w:val="none"/>
                <w:lang w:eastAsia="zh-CN"/>
              </w:rPr>
            </w:pPr>
            <w:r>
              <w:rPr>
                <w:rFonts w:hint="eastAsia" w:ascii="仿宋" w:hAnsi="仿宋" w:eastAsia="仿宋" w:cs="仿宋"/>
                <w:color w:val="auto"/>
                <w:sz w:val="24"/>
                <w:szCs w:val="24"/>
                <w:highlight w:val="none"/>
                <w:lang w:val="en-US" w:eastAsia="zh-CN"/>
              </w:rPr>
              <w:t>4</w:t>
            </w:r>
          </w:p>
        </w:tc>
        <w:tc>
          <w:tcPr>
            <w:tcW w:w="1464" w:type="dxa"/>
            <w:shd w:val="clear" w:color="auto" w:fill="auto"/>
            <w:noWrap/>
            <w:vAlign w:val="center"/>
          </w:tcPr>
          <w:p w14:paraId="3DA1F5CA">
            <w:pPr>
              <w:keepNext w:val="0"/>
              <w:keepLines w:val="0"/>
              <w:suppressLineNumbers w:val="0"/>
              <w:spacing w:before="0" w:beforeAutospacing="0" w:after="0" w:afterAutospacing="0" w:line="240" w:lineRule="auto"/>
              <w:ind w:left="0" w:leftChars="0" w:right="0" w:rightChars="0"/>
              <w:jc w:val="center"/>
              <w:rPr>
                <w:rFonts w:hint="eastAsia" w:ascii="仿宋" w:hAnsi="仿宋" w:eastAsia="仿宋" w:cs="仿宋"/>
                <w:color w:val="000000"/>
                <w:kern w:val="0"/>
                <w:sz w:val="24"/>
                <w:szCs w:val="24"/>
                <w:lang w:val="en-US" w:eastAsia="zh-CN" w:bidi="ar"/>
              </w:rPr>
            </w:pPr>
            <w:r>
              <w:rPr>
                <w:rFonts w:hint="eastAsia" w:ascii="仿宋" w:hAnsi="仿宋" w:eastAsia="仿宋" w:cs="仿宋"/>
                <w:color w:val="000000"/>
                <w:kern w:val="0"/>
                <w:sz w:val="24"/>
                <w:szCs w:val="24"/>
                <w:lang w:val="en-US" w:eastAsia="zh-CN" w:bidi="ar"/>
              </w:rPr>
              <w:t>生产服务能力</w:t>
            </w:r>
          </w:p>
        </w:tc>
        <w:tc>
          <w:tcPr>
            <w:tcW w:w="6162" w:type="dxa"/>
            <w:shd w:val="clear" w:color="auto" w:fill="auto"/>
            <w:noWrap/>
            <w:vAlign w:val="center"/>
          </w:tcPr>
          <w:p w14:paraId="595A9BB9">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left"/>
              <w:textAlignment w:val="auto"/>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投标人应具有自有或长期合作的固定标识标牌生产场所，具备多种剪裁、切割、喷漆、打印、运输等设备，满足多样化标牌生产制作要求，具有稳定的生产供货能力的，得3分。</w:t>
            </w:r>
          </w:p>
          <w:p w14:paraId="62B33E30">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firstLine="0" w:firstLineChars="0"/>
              <w:jc w:val="left"/>
              <w:textAlignment w:val="auto"/>
              <w:rPr>
                <w:rFonts w:hint="eastAsia" w:ascii="仿宋" w:hAnsi="仿宋" w:eastAsia="仿宋" w:cs="仿宋"/>
                <w:kern w:val="0"/>
                <w:sz w:val="24"/>
                <w:szCs w:val="24"/>
                <w:lang w:val="en-US" w:eastAsia="zh-CN" w:bidi="ar-SA"/>
              </w:rPr>
            </w:pPr>
            <w:r>
              <w:rPr>
                <w:rFonts w:hint="eastAsia" w:ascii="仿宋" w:hAnsi="仿宋" w:eastAsia="仿宋" w:cs="仿宋"/>
                <w:b/>
                <w:bCs/>
                <w:sz w:val="24"/>
                <w:szCs w:val="24"/>
                <w:lang w:bidi="ar"/>
              </w:rPr>
              <w:t>注：</w:t>
            </w:r>
            <w:r>
              <w:rPr>
                <w:rFonts w:hint="eastAsia" w:ascii="仿宋" w:hAnsi="仿宋" w:eastAsia="仿宋" w:cs="仿宋"/>
                <w:kern w:val="0"/>
                <w:sz w:val="24"/>
                <w:szCs w:val="24"/>
                <w:lang w:val="en-US" w:eastAsia="zh-CN"/>
              </w:rPr>
              <w:t>提供既往合作合同或付费记录（需盖章）；提供生产场所的产权证或租房合同扫描件，并配厂区生产线、厂区设备、厂区外貌、生产样品等照片；证明材料不齐全或无法核实的不得分。</w:t>
            </w:r>
          </w:p>
        </w:tc>
        <w:tc>
          <w:tcPr>
            <w:tcW w:w="1141" w:type="dxa"/>
            <w:shd w:val="clear" w:color="auto" w:fill="auto"/>
            <w:noWrap/>
            <w:vAlign w:val="center"/>
          </w:tcPr>
          <w:p w14:paraId="6648C002">
            <w:pPr>
              <w:keepNext w:val="0"/>
              <w:keepLines w:val="0"/>
              <w:widowControl/>
              <w:suppressLineNumbers w:val="0"/>
              <w:adjustRightInd w:val="0"/>
              <w:snapToGrid w:val="0"/>
              <w:spacing w:before="0" w:beforeAutospacing="0" w:after="0" w:afterAutospacing="0" w:line="240" w:lineRule="auto"/>
              <w:ind w:left="0" w:leftChars="0" w:right="0" w:rightChars="0"/>
              <w:jc w:val="center"/>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lang w:val="en-US" w:eastAsia="zh-CN"/>
              </w:rPr>
              <w:t>3</w:t>
            </w:r>
            <w:r>
              <w:rPr>
                <w:rFonts w:hint="eastAsia" w:ascii="仿宋" w:hAnsi="仿宋" w:eastAsia="仿宋" w:cs="仿宋"/>
                <w:bCs/>
                <w:sz w:val="24"/>
                <w:szCs w:val="24"/>
              </w:rPr>
              <w:t>分</w:t>
            </w:r>
          </w:p>
        </w:tc>
      </w:tr>
      <w:tr w14:paraId="52E19E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56" w:type="dxa"/>
            <w:noWrap/>
            <w:vAlign w:val="center"/>
          </w:tcPr>
          <w:p w14:paraId="65D8F87B">
            <w:pPr>
              <w:keepNext w:val="0"/>
              <w:keepLines w:val="0"/>
              <w:suppressLineNumbers w:val="0"/>
              <w:adjustRightInd w:val="0"/>
              <w:snapToGrid w:val="0"/>
              <w:spacing w:before="0" w:beforeAutospacing="0" w:after="0" w:afterAutospacing="0" w:line="300" w:lineRule="auto"/>
              <w:ind w:left="0" w:right="0"/>
              <w:jc w:val="center"/>
              <w:rPr>
                <w:rFonts w:hint="eastAsia" w:ascii="仿宋" w:hAnsi="仿宋" w:eastAsia="仿宋" w:cs="仿宋"/>
                <w:color w:val="auto"/>
                <w:sz w:val="24"/>
                <w:szCs w:val="24"/>
                <w:highlight w:val="none"/>
                <w:lang w:val="en-US" w:eastAsia="zh-CN"/>
              </w:rPr>
            </w:pPr>
          </w:p>
        </w:tc>
        <w:tc>
          <w:tcPr>
            <w:tcW w:w="7626" w:type="dxa"/>
            <w:gridSpan w:val="2"/>
            <w:noWrap/>
            <w:vAlign w:val="center"/>
          </w:tcPr>
          <w:p w14:paraId="0C787555">
            <w:pPr>
              <w:keepNext w:val="0"/>
              <w:keepLines w:val="0"/>
              <w:widowControl/>
              <w:suppressLineNumbers w:val="0"/>
              <w:spacing w:before="0" w:beforeAutospacing="0" w:after="0" w:afterAutospacing="0" w:line="240" w:lineRule="auto"/>
              <w:ind w:left="0" w:right="0"/>
              <w:rPr>
                <w:rFonts w:hint="eastAsia" w:ascii="仿宋" w:hAnsi="仿宋" w:eastAsia="仿宋" w:cs="仿宋"/>
                <w:sz w:val="24"/>
                <w:szCs w:val="24"/>
                <w:highlight w:val="none"/>
                <w:lang w:val="en-US" w:eastAsia="zh-CN"/>
              </w:rPr>
            </w:pPr>
            <w:r>
              <w:rPr>
                <w:rFonts w:hint="eastAsia" w:ascii="仿宋" w:hAnsi="仿宋" w:eastAsia="仿宋" w:cs="仿宋"/>
                <w:color w:val="000000"/>
                <w:sz w:val="24"/>
                <w:szCs w:val="24"/>
                <w:lang w:val="en-US" w:eastAsia="zh-CN"/>
              </w:rPr>
              <w:t>1.2</w:t>
            </w:r>
            <w:r>
              <w:rPr>
                <w:rFonts w:hint="eastAsia" w:ascii="仿宋" w:hAnsi="仿宋" w:eastAsia="仿宋" w:cs="仿宋"/>
                <w:color w:val="000000"/>
                <w:sz w:val="24"/>
                <w:szCs w:val="24"/>
              </w:rPr>
              <w:t>设计方案</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40</w:t>
            </w:r>
            <w:r>
              <w:rPr>
                <w:rFonts w:hint="eastAsia" w:ascii="仿宋" w:hAnsi="仿宋" w:eastAsia="仿宋" w:cs="仿宋"/>
                <w:color w:val="000000"/>
                <w:sz w:val="24"/>
                <w:szCs w:val="24"/>
              </w:rPr>
              <w:t>分</w:t>
            </w:r>
            <w:r>
              <w:rPr>
                <w:rFonts w:hint="eastAsia" w:ascii="仿宋" w:hAnsi="仿宋" w:eastAsia="仿宋" w:cs="仿宋"/>
                <w:color w:val="000000"/>
                <w:sz w:val="24"/>
                <w:szCs w:val="24"/>
                <w:lang w:eastAsia="zh-CN"/>
              </w:rPr>
              <w:t>）</w:t>
            </w:r>
          </w:p>
        </w:tc>
        <w:tc>
          <w:tcPr>
            <w:tcW w:w="1141" w:type="dxa"/>
            <w:noWrap/>
            <w:vAlign w:val="center"/>
          </w:tcPr>
          <w:p w14:paraId="377BB8E4">
            <w:pPr>
              <w:keepNext w:val="0"/>
              <w:keepLines w:val="0"/>
              <w:suppressLineNumbers w:val="0"/>
              <w:spacing w:before="0" w:beforeAutospacing="0" w:after="0" w:afterAutospacing="0" w:line="240" w:lineRule="auto"/>
              <w:ind w:left="0" w:right="0"/>
              <w:jc w:val="center"/>
              <w:rPr>
                <w:rFonts w:hint="eastAsia" w:ascii="仿宋" w:hAnsi="仿宋" w:eastAsia="仿宋" w:cs="仿宋"/>
                <w:sz w:val="24"/>
                <w:szCs w:val="24"/>
                <w:lang w:val="en-US" w:eastAsia="zh-CN"/>
              </w:rPr>
            </w:pPr>
          </w:p>
        </w:tc>
      </w:tr>
      <w:tr w14:paraId="494F50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56" w:type="dxa"/>
            <w:noWrap/>
            <w:vAlign w:val="center"/>
          </w:tcPr>
          <w:p w14:paraId="2AEBF59D">
            <w:pPr>
              <w:keepNext w:val="0"/>
              <w:keepLines w:val="0"/>
              <w:suppressLineNumbers w:val="0"/>
              <w:adjustRightInd w:val="0"/>
              <w:snapToGrid w:val="0"/>
              <w:spacing w:before="0" w:beforeAutospacing="0" w:after="0" w:afterAutospacing="0" w:line="300" w:lineRule="auto"/>
              <w:ind w:left="0" w:right="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1464" w:type="dxa"/>
            <w:noWrap/>
            <w:vAlign w:val="center"/>
          </w:tcPr>
          <w:p w14:paraId="798AC348">
            <w:pPr>
              <w:keepNext w:val="0"/>
              <w:keepLines w:val="0"/>
              <w:widowControl/>
              <w:suppressLineNumbers w:val="0"/>
              <w:adjustRightInd w:val="0"/>
              <w:snapToGrid w:val="0"/>
              <w:spacing w:before="0" w:beforeAutospacing="0" w:after="0" w:afterAutospacing="0" w:line="240" w:lineRule="auto"/>
              <w:ind w:left="0" w:right="0"/>
              <w:jc w:val="center"/>
              <w:rPr>
                <w:rFonts w:hint="eastAsia" w:ascii="仿宋" w:hAnsi="仿宋" w:eastAsia="仿宋" w:cs="仿宋"/>
                <w:kern w:val="2"/>
                <w:sz w:val="24"/>
                <w:szCs w:val="24"/>
                <w:lang w:val="en-US" w:eastAsia="zh-CN" w:bidi="ar-SA"/>
              </w:rPr>
            </w:pPr>
            <w:r>
              <w:rPr>
                <w:rFonts w:hint="eastAsia" w:ascii="仿宋" w:hAnsi="仿宋" w:eastAsia="仿宋" w:cs="仿宋"/>
                <w:b w:val="0"/>
                <w:kern w:val="0"/>
                <w:sz w:val="24"/>
                <w:szCs w:val="24"/>
                <w:lang w:val="en-US" w:eastAsia="zh-CN"/>
              </w:rPr>
              <w:t>设计文化契合与视觉造型规范</w:t>
            </w:r>
          </w:p>
        </w:tc>
        <w:tc>
          <w:tcPr>
            <w:tcW w:w="6162" w:type="dxa"/>
            <w:noWrap/>
            <w:vAlign w:val="center"/>
          </w:tcPr>
          <w:p w14:paraId="43200DB9">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firstLine="0" w:firstLineChars="0"/>
              <w:jc w:val="left"/>
              <w:textAlignment w:val="auto"/>
              <w:rPr>
                <w:rFonts w:hint="eastAsia" w:ascii="仿宋" w:hAnsi="仿宋" w:eastAsia="仿宋" w:cs="仿宋"/>
                <w:sz w:val="24"/>
                <w:szCs w:val="24"/>
                <w:highlight w:val="none"/>
              </w:rPr>
            </w:pPr>
            <w:r>
              <w:rPr>
                <w:rFonts w:hint="eastAsia" w:ascii="仿宋" w:hAnsi="仿宋" w:eastAsia="仿宋" w:cs="仿宋"/>
                <w:kern w:val="2"/>
                <w:sz w:val="24"/>
                <w:szCs w:val="24"/>
                <w:lang w:val="en-US" w:eastAsia="zh-CN" w:bidi="ar-SA"/>
              </w:rPr>
              <w:t>1.</w:t>
            </w:r>
            <w:r>
              <w:rPr>
                <w:rFonts w:hint="eastAsia" w:ascii="仿宋" w:hAnsi="仿宋" w:eastAsia="仿宋" w:cs="仿宋"/>
                <w:sz w:val="24"/>
                <w:szCs w:val="24"/>
                <w:highlight w:val="none"/>
              </w:rPr>
              <w:t>深刻理解学校办学历史、文化底蕴、学科特色与校训精神，设计主题鲜明立意高远，和校园建筑、景观、文脉高度融合，原创性强；同时造型庄重典雅、具备科大专属辨识度，色彩、字体、符号体系规范统一、系列化模块化程度高，信息层级清晰、多语种表达规范，日景夜景效果俱佳，得10分。</w:t>
            </w:r>
          </w:p>
          <w:p w14:paraId="6AFB8DC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firstLine="0" w:firstLineChars="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2.能够把握学校文化内涵与场地特征，设计理念清晰，风格和校园环境较为协调；造型美观，色彩、字体运用较为统一，基本满足校园导视标识设计规范要求，得</w:t>
            </w:r>
            <w:r>
              <w:rPr>
                <w:rFonts w:hint="eastAsia" w:ascii="仿宋" w:hAnsi="仿宋" w:eastAsia="仿宋" w:cs="仿宋"/>
                <w:sz w:val="24"/>
                <w:szCs w:val="24"/>
                <w:highlight w:val="none"/>
                <w:lang w:val="en-US" w:eastAsia="zh-CN"/>
              </w:rPr>
              <w:t>7</w:t>
            </w:r>
            <w:r>
              <w:rPr>
                <w:rFonts w:hint="eastAsia" w:ascii="仿宋" w:hAnsi="仿宋" w:eastAsia="仿宋" w:cs="仿宋"/>
                <w:sz w:val="24"/>
                <w:szCs w:val="24"/>
                <w:highlight w:val="none"/>
              </w:rPr>
              <w:t>分。</w:t>
            </w:r>
          </w:p>
          <w:p w14:paraId="7169A2E6">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firstLine="0" w:firstLineChars="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3.对校园文化理解一般，设计立意平淡，场地融合度一般；造型常规普通，视觉元素统一性、规范性存在不足，得</w:t>
            </w: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rPr>
              <w:t>分。</w:t>
            </w:r>
          </w:p>
          <w:p w14:paraId="0FCD8DC3">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firstLine="0" w:firstLineChars="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4.设计理念模糊拼凑，未体现科大文化特色、与校园环境明显不协调；或造型粗糙、视觉混乱，明显不符合导视相关规范，得</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分。</w:t>
            </w:r>
          </w:p>
          <w:p w14:paraId="61A6CD50">
            <w:pPr>
              <w:keepNext w:val="0"/>
              <w:keepLines w:val="0"/>
              <w:widowControl/>
              <w:suppressLineNumbers w:val="0"/>
              <w:spacing w:before="0" w:beforeAutospacing="0" w:after="0" w:afterAutospacing="0" w:line="240" w:lineRule="auto"/>
              <w:ind w:left="0" w:right="0"/>
              <w:rPr>
                <w:rFonts w:hint="eastAsia" w:ascii="仿宋" w:hAnsi="仿宋" w:eastAsia="仿宋" w:cs="仿宋"/>
                <w:kern w:val="0"/>
                <w:sz w:val="24"/>
                <w:szCs w:val="24"/>
                <w:lang w:val="en-US" w:eastAsia="zh-CN" w:bidi="ar-SA"/>
              </w:rPr>
            </w:pPr>
            <w:r>
              <w:rPr>
                <w:rFonts w:hint="eastAsia" w:ascii="仿宋" w:hAnsi="仿宋" w:eastAsia="仿宋" w:cs="仿宋"/>
                <w:sz w:val="24"/>
                <w:szCs w:val="24"/>
                <w:highlight w:val="none"/>
              </w:rPr>
              <w:t>5.文化表达严重偏离、视觉设计存在重大缺陷，</w:t>
            </w:r>
            <w:r>
              <w:rPr>
                <w:rFonts w:hint="eastAsia" w:ascii="仿宋" w:hAnsi="仿宋" w:eastAsia="仿宋" w:cs="仿宋"/>
                <w:b w:val="0"/>
                <w:kern w:val="0"/>
                <w:sz w:val="24"/>
                <w:szCs w:val="24"/>
                <w:lang w:val="en-US" w:eastAsia="zh-CN"/>
              </w:rPr>
              <w:t>或未提供相关内容的，</w:t>
            </w:r>
            <w:r>
              <w:rPr>
                <w:rFonts w:hint="eastAsia" w:ascii="仿宋" w:hAnsi="仿宋" w:eastAsia="仿宋" w:cs="仿宋"/>
                <w:sz w:val="24"/>
                <w:szCs w:val="24"/>
                <w:highlight w:val="none"/>
              </w:rPr>
              <w:t>不得分。</w:t>
            </w:r>
          </w:p>
        </w:tc>
        <w:tc>
          <w:tcPr>
            <w:tcW w:w="1141" w:type="dxa"/>
            <w:noWrap/>
            <w:vAlign w:val="center"/>
          </w:tcPr>
          <w:p w14:paraId="449B6266">
            <w:pPr>
              <w:keepNext w:val="0"/>
              <w:keepLines w:val="0"/>
              <w:suppressLineNumbers w:val="0"/>
              <w:spacing w:before="0" w:beforeAutospacing="0" w:after="0" w:afterAutospacing="0" w:line="240" w:lineRule="auto"/>
              <w:ind w:left="0" w:right="0"/>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10</w:t>
            </w:r>
            <w:r>
              <w:rPr>
                <w:rFonts w:hint="eastAsia" w:ascii="仿宋" w:hAnsi="仿宋" w:eastAsia="仿宋" w:cs="仿宋"/>
                <w:sz w:val="24"/>
                <w:szCs w:val="24"/>
              </w:rPr>
              <w:t>分</w:t>
            </w:r>
          </w:p>
        </w:tc>
      </w:tr>
      <w:tr w14:paraId="6056B9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56" w:type="dxa"/>
            <w:shd w:val="clear" w:color="auto" w:fill="auto"/>
            <w:noWrap/>
            <w:vAlign w:val="center"/>
          </w:tcPr>
          <w:p w14:paraId="4DDF34A2">
            <w:pPr>
              <w:keepNext w:val="0"/>
              <w:keepLines w:val="0"/>
              <w:suppressLineNumbers w:val="0"/>
              <w:adjustRightInd w:val="0"/>
              <w:snapToGrid w:val="0"/>
              <w:spacing w:before="0" w:beforeAutospacing="0" w:after="0" w:afterAutospacing="0" w:line="300" w:lineRule="auto"/>
              <w:ind w:left="0" w:leftChars="0" w:right="0" w:rightChars="0"/>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4</w:t>
            </w:r>
          </w:p>
        </w:tc>
        <w:tc>
          <w:tcPr>
            <w:tcW w:w="1464" w:type="dxa"/>
            <w:shd w:val="clear" w:color="auto" w:fill="auto"/>
            <w:noWrap/>
            <w:vAlign w:val="center"/>
          </w:tcPr>
          <w:p w14:paraId="24518924">
            <w:pPr>
              <w:keepNext w:val="0"/>
              <w:keepLines w:val="0"/>
              <w:widowControl/>
              <w:suppressLineNumbers w:val="0"/>
              <w:snapToGrid w:val="0"/>
              <w:spacing w:before="0" w:beforeAutospacing="0" w:after="0" w:afterAutospacing="0" w:line="288" w:lineRule="auto"/>
              <w:ind w:left="0" w:leftChars="0" w:right="0" w:rightChars="0"/>
              <w:jc w:val="center"/>
              <w:rPr>
                <w:rFonts w:hint="eastAsia" w:ascii="仿宋" w:hAnsi="仿宋" w:eastAsia="仿宋" w:cs="仿宋"/>
                <w:b w:val="0"/>
                <w:kern w:val="0"/>
                <w:sz w:val="24"/>
                <w:szCs w:val="24"/>
                <w:highlight w:val="none"/>
                <w:lang w:val="en-US" w:eastAsia="zh-CN" w:bidi="ar-SA"/>
              </w:rPr>
            </w:pPr>
            <w:r>
              <w:rPr>
                <w:rFonts w:hint="eastAsia" w:ascii="仿宋" w:hAnsi="仿宋" w:eastAsia="仿宋" w:cs="仿宋"/>
                <w:b w:val="0"/>
                <w:kern w:val="0"/>
                <w:sz w:val="24"/>
                <w:szCs w:val="24"/>
                <w:highlight w:val="none"/>
                <w:lang w:val="en-US" w:eastAsia="zh-CN"/>
              </w:rPr>
              <w:t>设计成果深度及实物样品质量</w:t>
            </w:r>
          </w:p>
        </w:tc>
        <w:tc>
          <w:tcPr>
            <w:tcW w:w="6162" w:type="dxa"/>
            <w:shd w:val="clear" w:color="auto" w:fill="auto"/>
            <w:noWrap/>
            <w:vAlign w:val="center"/>
          </w:tcPr>
          <w:p w14:paraId="25B08527">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设计成果完整齐全，含标识单体效果图（日景、夜景、多视角）、平立剖面图、结构节点大样、材料清单及技术参数表，图纸标注规范、准确，深度满足初步设计及施工图深化；提交的样品做工精良、质感突出、工艺精细，与设计方案、材质要求高度吻合，得12分；</w:t>
            </w:r>
          </w:p>
          <w:p w14:paraId="3C46FFD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2.成果较为完整，主要图纸齐全，深度基本满足实施要求；样品做工良好、工艺较精细，基本符合设计及材质要求，得8分；</w:t>
            </w:r>
          </w:p>
          <w:p w14:paraId="65C58DC0">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3.成果存在缺漏，部分关键图纸缺失、设计深度不足；样品做工一般，存在明显瑕疵，部分指标不满足方案要求，得5分；</w:t>
            </w:r>
          </w:p>
          <w:p w14:paraId="5F88358C">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4.成果严重不完整，难以指导实施；或样品做工粗糙、与方案明显不符，得2分；</w:t>
            </w:r>
          </w:p>
          <w:p w14:paraId="1767456E">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firstLine="0" w:firstLineChars="0"/>
              <w:jc w:val="left"/>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highlight w:val="none"/>
                <w:lang w:val="en-US" w:eastAsia="zh-CN"/>
              </w:rPr>
              <w:t>5.未提供样品，或设计成果、样品存在重大缺陷，不得分。</w:t>
            </w:r>
          </w:p>
        </w:tc>
        <w:tc>
          <w:tcPr>
            <w:tcW w:w="1141" w:type="dxa"/>
            <w:shd w:val="clear" w:color="auto" w:fill="auto"/>
            <w:noWrap/>
            <w:vAlign w:val="center"/>
          </w:tcPr>
          <w:p w14:paraId="65AEF5DA">
            <w:pPr>
              <w:keepNext w:val="0"/>
              <w:keepLines w:val="0"/>
              <w:suppressLineNumbers w:val="0"/>
              <w:spacing w:before="0" w:beforeAutospacing="0" w:after="0" w:afterAutospacing="0" w:line="240" w:lineRule="auto"/>
              <w:ind w:left="0" w:leftChars="0" w:right="0" w:rightChars="0"/>
              <w:jc w:val="center"/>
              <w:rPr>
                <w:rFonts w:hint="eastAsia" w:ascii="仿宋" w:hAnsi="仿宋" w:eastAsia="仿宋" w:cs="仿宋"/>
                <w:kern w:val="2"/>
                <w:sz w:val="24"/>
                <w:szCs w:val="24"/>
                <w:highlight w:val="none"/>
                <w:lang w:val="en-US" w:eastAsia="zh-CN" w:bidi="ar-SA"/>
              </w:rPr>
            </w:pPr>
            <w:r>
              <w:rPr>
                <w:rFonts w:hint="default" w:ascii="仿宋" w:hAnsi="仿宋" w:eastAsia="仿宋" w:cs="仿宋"/>
                <w:sz w:val="24"/>
                <w:szCs w:val="24"/>
                <w:highlight w:val="none"/>
                <w:lang w:val="en-US" w:eastAsia="zh-CN"/>
              </w:rPr>
              <w:t>1</w:t>
            </w:r>
            <w:r>
              <w:rPr>
                <w:rFonts w:hint="eastAsia" w:ascii="仿宋" w:hAnsi="仿宋" w:eastAsia="仿宋" w:cs="仿宋"/>
                <w:sz w:val="24"/>
                <w:szCs w:val="24"/>
                <w:highlight w:val="none"/>
                <w:lang w:val="en-US" w:eastAsia="zh-CN"/>
              </w:rPr>
              <w:t>2分</w:t>
            </w:r>
          </w:p>
        </w:tc>
      </w:tr>
      <w:tr w14:paraId="39A2A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56" w:type="dxa"/>
            <w:noWrap/>
            <w:vAlign w:val="center"/>
          </w:tcPr>
          <w:p w14:paraId="4FCE7149">
            <w:pPr>
              <w:keepNext w:val="0"/>
              <w:keepLines w:val="0"/>
              <w:suppressLineNumbers w:val="0"/>
              <w:adjustRightInd w:val="0"/>
              <w:snapToGrid w:val="0"/>
              <w:spacing w:before="0" w:beforeAutospacing="0" w:after="0" w:afterAutospacing="0" w:line="300" w:lineRule="auto"/>
              <w:ind w:left="0" w:right="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1464" w:type="dxa"/>
            <w:noWrap/>
            <w:vAlign w:val="center"/>
          </w:tcPr>
          <w:p w14:paraId="03684849">
            <w:pPr>
              <w:keepNext w:val="0"/>
              <w:keepLines w:val="0"/>
              <w:widowControl/>
              <w:suppressLineNumbers w:val="0"/>
              <w:adjustRightInd w:val="0"/>
              <w:snapToGrid w:val="0"/>
              <w:spacing w:before="0" w:beforeAutospacing="0" w:after="0" w:afterAutospacing="0" w:line="240" w:lineRule="auto"/>
              <w:ind w:left="0" w:right="0"/>
              <w:jc w:val="center"/>
              <w:rPr>
                <w:rFonts w:hint="eastAsia" w:ascii="仿宋" w:hAnsi="仿宋" w:eastAsia="仿宋" w:cs="仿宋"/>
                <w:bCs/>
                <w:kern w:val="2"/>
                <w:sz w:val="24"/>
                <w:szCs w:val="24"/>
                <w:lang w:val="en-US" w:eastAsia="zh-CN" w:bidi="ar-SA"/>
              </w:rPr>
            </w:pPr>
            <w:r>
              <w:rPr>
                <w:rFonts w:hint="eastAsia" w:ascii="仿宋" w:hAnsi="仿宋" w:eastAsia="仿宋" w:cs="仿宋"/>
                <w:b w:val="0"/>
                <w:kern w:val="0"/>
                <w:sz w:val="24"/>
                <w:szCs w:val="24"/>
                <w:lang w:val="en-US" w:eastAsia="zh-CN"/>
              </w:rPr>
              <w:t>项目实施方案</w:t>
            </w:r>
          </w:p>
        </w:tc>
        <w:tc>
          <w:tcPr>
            <w:tcW w:w="6162" w:type="dxa"/>
            <w:noWrap/>
            <w:vAlign w:val="center"/>
          </w:tcPr>
          <w:p w14:paraId="1D28C18D">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jc w:val="left"/>
              <w:textAlignment w:val="auto"/>
              <w:rPr>
                <w:rFonts w:hint="eastAsia" w:ascii="仿宋" w:hAnsi="仿宋" w:eastAsia="仿宋" w:cs="仿宋"/>
                <w:b w:val="0"/>
                <w:kern w:val="0"/>
                <w:sz w:val="24"/>
                <w:szCs w:val="24"/>
                <w:lang w:val="en-US" w:eastAsia="zh-CN"/>
              </w:rPr>
            </w:pPr>
            <w:r>
              <w:rPr>
                <w:rFonts w:hint="eastAsia" w:ascii="仿宋" w:hAnsi="仿宋" w:eastAsia="仿宋" w:cs="仿宋"/>
                <w:b w:val="0"/>
                <w:kern w:val="0"/>
                <w:sz w:val="24"/>
                <w:szCs w:val="24"/>
                <w:lang w:val="en-US" w:eastAsia="zh-CN"/>
              </w:rPr>
              <w:t>根据供应商提供的实施方案（包括但不限于现场环境改造、设备进场、设备验收、设备安装、工期进度、人员配备、安全文明施工措施等）进行评审：</w:t>
            </w:r>
          </w:p>
          <w:p w14:paraId="064DDC47">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jc w:val="left"/>
              <w:textAlignment w:val="auto"/>
              <w:rPr>
                <w:rFonts w:hint="eastAsia" w:ascii="仿宋" w:hAnsi="仿宋" w:eastAsia="仿宋" w:cs="仿宋"/>
                <w:b w:val="0"/>
                <w:kern w:val="0"/>
                <w:sz w:val="24"/>
                <w:szCs w:val="24"/>
                <w:lang w:val="en-US" w:eastAsia="zh-CN"/>
              </w:rPr>
            </w:pPr>
            <w:r>
              <w:rPr>
                <w:rFonts w:hint="eastAsia" w:ascii="仿宋" w:hAnsi="仿宋" w:eastAsia="仿宋" w:cs="仿宋"/>
                <w:b w:val="0"/>
                <w:kern w:val="0"/>
                <w:sz w:val="24"/>
                <w:szCs w:val="24"/>
                <w:lang w:val="en-US" w:eastAsia="zh-CN"/>
              </w:rPr>
              <w:t>1.项目现状分析明确，能完整提出项目目前存在的问题，有具体的实施方案，能够确保在规定的时间内完成项目建设，能够充分保障项目质量，得8分；</w:t>
            </w:r>
          </w:p>
          <w:p w14:paraId="4F685320">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jc w:val="left"/>
              <w:textAlignment w:val="auto"/>
              <w:rPr>
                <w:rFonts w:hint="eastAsia" w:ascii="仿宋" w:hAnsi="仿宋" w:eastAsia="仿宋" w:cs="仿宋"/>
                <w:b w:val="0"/>
                <w:kern w:val="0"/>
                <w:sz w:val="24"/>
                <w:szCs w:val="24"/>
                <w:lang w:val="en-US" w:eastAsia="zh-CN"/>
              </w:rPr>
            </w:pPr>
            <w:r>
              <w:rPr>
                <w:rFonts w:hint="eastAsia" w:ascii="仿宋" w:hAnsi="仿宋" w:eastAsia="仿宋" w:cs="仿宋"/>
                <w:b w:val="0"/>
                <w:kern w:val="0"/>
                <w:sz w:val="24"/>
                <w:szCs w:val="24"/>
                <w:lang w:val="en-US" w:eastAsia="zh-CN"/>
              </w:rPr>
              <w:t>2.项目现状分析较为明确，能提出大部分项目目前存在的问题，有较为具体的实施方案，能够在规定的时间内完成项目建设，能够有效保障项目质量，得5分；</w:t>
            </w:r>
          </w:p>
          <w:p w14:paraId="79FA848D">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jc w:val="left"/>
              <w:textAlignment w:val="auto"/>
              <w:rPr>
                <w:rFonts w:hint="eastAsia" w:ascii="仿宋" w:hAnsi="仿宋" w:eastAsia="仿宋" w:cs="仿宋"/>
                <w:b w:val="0"/>
                <w:kern w:val="0"/>
                <w:sz w:val="24"/>
                <w:szCs w:val="24"/>
                <w:lang w:val="en-US" w:eastAsia="zh-CN"/>
              </w:rPr>
            </w:pPr>
            <w:r>
              <w:rPr>
                <w:rFonts w:hint="eastAsia" w:ascii="仿宋" w:hAnsi="仿宋" w:eastAsia="仿宋" w:cs="仿宋"/>
                <w:b w:val="0"/>
                <w:kern w:val="0"/>
                <w:sz w:val="24"/>
                <w:szCs w:val="24"/>
                <w:lang w:val="en-US" w:eastAsia="zh-CN"/>
              </w:rPr>
              <w:t>3.项目现状分析不够明确，提出了部分项目目前存在的问题，有基本的实施方案，基本能够保障在规定的时间内完成项目建设，得2分；</w:t>
            </w:r>
          </w:p>
          <w:p w14:paraId="19630857">
            <w:pPr>
              <w:keepNext w:val="0"/>
              <w:keepLines w:val="0"/>
              <w:widowControl/>
              <w:suppressLineNumbers w:val="0"/>
              <w:spacing w:before="0" w:beforeAutospacing="0" w:after="0" w:afterAutospacing="0" w:line="240" w:lineRule="auto"/>
              <w:ind w:left="0" w:right="0"/>
              <w:rPr>
                <w:rFonts w:hint="eastAsia" w:ascii="仿宋" w:hAnsi="仿宋" w:eastAsia="仿宋" w:cs="仿宋"/>
                <w:kern w:val="2"/>
                <w:sz w:val="24"/>
                <w:szCs w:val="24"/>
                <w:lang w:val="en-US" w:eastAsia="zh-CN" w:bidi="ar-SA"/>
              </w:rPr>
            </w:pPr>
            <w:r>
              <w:rPr>
                <w:rFonts w:hint="eastAsia" w:ascii="仿宋" w:hAnsi="仿宋" w:eastAsia="仿宋" w:cs="仿宋"/>
                <w:b w:val="0"/>
                <w:kern w:val="0"/>
                <w:sz w:val="24"/>
                <w:szCs w:val="24"/>
                <w:lang w:val="en-US" w:eastAsia="zh-CN"/>
              </w:rPr>
              <w:t>4.未提供相关内容的不得分。</w:t>
            </w:r>
          </w:p>
        </w:tc>
        <w:tc>
          <w:tcPr>
            <w:tcW w:w="1141" w:type="dxa"/>
            <w:noWrap/>
            <w:vAlign w:val="center"/>
          </w:tcPr>
          <w:p w14:paraId="65E98CA3">
            <w:pPr>
              <w:keepNext w:val="0"/>
              <w:keepLines w:val="0"/>
              <w:suppressLineNumbers w:val="0"/>
              <w:spacing w:before="0" w:beforeAutospacing="0" w:after="0" w:afterAutospacing="0" w:line="240" w:lineRule="auto"/>
              <w:ind w:left="0" w:right="0"/>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8</w:t>
            </w:r>
            <w:r>
              <w:rPr>
                <w:rFonts w:hint="eastAsia" w:ascii="仿宋" w:hAnsi="仿宋" w:eastAsia="仿宋" w:cs="仿宋"/>
                <w:sz w:val="24"/>
                <w:szCs w:val="24"/>
              </w:rPr>
              <w:t>分</w:t>
            </w:r>
          </w:p>
        </w:tc>
      </w:tr>
      <w:tr w14:paraId="7ED6E4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56" w:type="dxa"/>
            <w:noWrap/>
            <w:vAlign w:val="center"/>
          </w:tcPr>
          <w:p w14:paraId="07923178">
            <w:pPr>
              <w:keepNext w:val="0"/>
              <w:keepLines w:val="0"/>
              <w:suppressLineNumbers w:val="0"/>
              <w:adjustRightInd w:val="0"/>
              <w:snapToGrid w:val="0"/>
              <w:spacing w:before="0" w:beforeAutospacing="0" w:after="0" w:afterAutospacing="0" w:line="300" w:lineRule="auto"/>
              <w:ind w:left="0" w:right="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1464" w:type="dxa"/>
            <w:noWrap/>
            <w:vAlign w:val="center"/>
          </w:tcPr>
          <w:p w14:paraId="67A8EB87">
            <w:pPr>
              <w:keepNext w:val="0"/>
              <w:keepLines w:val="0"/>
              <w:widowControl/>
              <w:suppressLineNumbers w:val="0"/>
              <w:snapToGrid w:val="0"/>
              <w:spacing w:before="0" w:beforeAutospacing="0" w:after="0" w:afterAutospacing="0" w:line="288" w:lineRule="auto"/>
              <w:ind w:left="0" w:leftChars="0" w:right="0" w:rightChars="0"/>
              <w:jc w:val="center"/>
              <w:rPr>
                <w:rFonts w:hint="eastAsia" w:ascii="仿宋" w:hAnsi="仿宋" w:eastAsia="仿宋" w:cs="仿宋"/>
                <w:bCs/>
                <w:sz w:val="24"/>
                <w:szCs w:val="24"/>
                <w:lang w:val="en-US" w:eastAsia="zh-CN"/>
              </w:rPr>
            </w:pPr>
            <w:r>
              <w:rPr>
                <w:rFonts w:hint="eastAsia" w:ascii="仿宋" w:hAnsi="仿宋" w:eastAsia="仿宋" w:cs="仿宋"/>
                <w:b w:val="0"/>
                <w:kern w:val="0"/>
                <w:sz w:val="24"/>
                <w:szCs w:val="24"/>
                <w:lang w:val="en-US" w:eastAsia="zh-CN"/>
              </w:rPr>
              <w:t>标识系统分类分级与布点规划</w:t>
            </w:r>
          </w:p>
        </w:tc>
        <w:tc>
          <w:tcPr>
            <w:tcW w:w="6162" w:type="dxa"/>
            <w:noWrap/>
            <w:vAlign w:val="center"/>
          </w:tcPr>
          <w:p w14:paraId="168D2308">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jc w:val="left"/>
              <w:textAlignment w:val="auto"/>
              <w:rPr>
                <w:rFonts w:hint="eastAsia" w:ascii="仿宋" w:hAnsi="仿宋" w:eastAsia="仿宋" w:cs="仿宋"/>
                <w:b w:val="0"/>
                <w:kern w:val="0"/>
                <w:sz w:val="24"/>
                <w:szCs w:val="24"/>
                <w:lang w:val="en-US" w:eastAsia="zh-CN"/>
              </w:rPr>
            </w:pPr>
            <w:r>
              <w:rPr>
                <w:rFonts w:hint="eastAsia" w:ascii="仿宋" w:hAnsi="仿宋" w:eastAsia="仿宋" w:cs="仿宋"/>
                <w:b w:val="0"/>
                <w:kern w:val="0"/>
                <w:sz w:val="24"/>
                <w:szCs w:val="24"/>
                <w:lang w:val="en-US" w:eastAsia="zh-CN"/>
              </w:rPr>
              <w:t>1.标识分类分级体系科学完整，涵盖导向、识别、说明、管理等类别并合理分级；布点方案基于现场踏勘和流线分析，点位覆盖校门、道路交叉口、主要建筑入口、大型公共建筑等关键节点，位置、密度、体量尺度与场地条件相宜；导向信息层级清楚、衔接连续、无断点，得5分；</w:t>
            </w:r>
          </w:p>
          <w:p w14:paraId="3CE3E59C">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jc w:val="left"/>
              <w:textAlignment w:val="auto"/>
              <w:rPr>
                <w:rFonts w:hint="eastAsia" w:ascii="仿宋" w:hAnsi="仿宋" w:eastAsia="仿宋" w:cs="仿宋"/>
                <w:b w:val="0"/>
                <w:kern w:val="0"/>
                <w:sz w:val="24"/>
                <w:szCs w:val="24"/>
                <w:lang w:val="en-US" w:eastAsia="zh-CN"/>
              </w:rPr>
            </w:pPr>
            <w:r>
              <w:rPr>
                <w:rFonts w:hint="eastAsia" w:ascii="仿宋" w:hAnsi="仿宋" w:eastAsia="仿宋" w:cs="仿宋"/>
                <w:b w:val="0"/>
                <w:kern w:val="0"/>
                <w:sz w:val="24"/>
                <w:szCs w:val="24"/>
                <w:lang w:val="en-US" w:eastAsia="zh-CN"/>
              </w:rPr>
              <w:t>2.分类分级体系较完整，布点基本合理，导向信息基本连续，基本符合相关标准要求，得3分；</w:t>
            </w:r>
          </w:p>
          <w:p w14:paraId="6C76ACA6">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jc w:val="left"/>
              <w:textAlignment w:val="auto"/>
              <w:rPr>
                <w:rFonts w:hint="eastAsia" w:ascii="仿宋" w:hAnsi="仿宋" w:eastAsia="仿宋" w:cs="仿宋"/>
                <w:b w:val="0"/>
                <w:kern w:val="0"/>
                <w:sz w:val="24"/>
                <w:szCs w:val="24"/>
                <w:lang w:val="en-US" w:eastAsia="zh-CN"/>
              </w:rPr>
            </w:pPr>
            <w:r>
              <w:rPr>
                <w:rFonts w:hint="eastAsia" w:ascii="仿宋" w:hAnsi="仿宋" w:eastAsia="仿宋" w:cs="仿宋"/>
                <w:b w:val="0"/>
                <w:kern w:val="0"/>
                <w:sz w:val="24"/>
                <w:szCs w:val="24"/>
                <w:lang w:val="en-US" w:eastAsia="zh-CN"/>
              </w:rPr>
              <w:t>3.分类分级混乱，布点存在局部遗漏或重复，设置不合理，导向衔接存在断点，无法满足基本导向功能，得1分；</w:t>
            </w:r>
          </w:p>
          <w:p w14:paraId="45E1CB33">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jc w:val="left"/>
              <w:textAlignment w:val="auto"/>
              <w:rPr>
                <w:rFonts w:hint="eastAsia" w:ascii="仿宋" w:hAnsi="仿宋" w:eastAsia="仿宋" w:cs="仿宋"/>
                <w:b w:val="0"/>
                <w:kern w:val="0"/>
                <w:sz w:val="24"/>
                <w:szCs w:val="24"/>
                <w:lang w:val="en-US" w:eastAsia="zh-CN"/>
              </w:rPr>
            </w:pPr>
            <w:r>
              <w:rPr>
                <w:rFonts w:hint="eastAsia" w:ascii="仿宋" w:hAnsi="仿宋" w:eastAsia="仿宋" w:cs="仿宋"/>
                <w:b w:val="0"/>
                <w:kern w:val="0"/>
                <w:sz w:val="24"/>
                <w:szCs w:val="24"/>
                <w:lang w:val="en-US" w:eastAsia="zh-CN"/>
              </w:rPr>
              <w:t>4.未提供相关内容的不得分。</w:t>
            </w:r>
          </w:p>
        </w:tc>
        <w:tc>
          <w:tcPr>
            <w:tcW w:w="1141" w:type="dxa"/>
            <w:noWrap/>
            <w:vAlign w:val="center"/>
          </w:tcPr>
          <w:p w14:paraId="45214128">
            <w:pPr>
              <w:keepNext w:val="0"/>
              <w:keepLines w:val="0"/>
              <w:suppressLineNumbers w:val="0"/>
              <w:spacing w:before="0" w:beforeAutospacing="0" w:after="0" w:afterAutospacing="0" w:line="240" w:lineRule="auto"/>
              <w:ind w:left="0" w:right="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5分</w:t>
            </w:r>
          </w:p>
        </w:tc>
      </w:tr>
      <w:tr w14:paraId="65976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56" w:type="dxa"/>
            <w:noWrap/>
            <w:vAlign w:val="center"/>
          </w:tcPr>
          <w:p w14:paraId="5D8FD83B">
            <w:pPr>
              <w:keepNext w:val="0"/>
              <w:keepLines w:val="0"/>
              <w:suppressLineNumbers w:val="0"/>
              <w:adjustRightInd w:val="0"/>
              <w:snapToGrid w:val="0"/>
              <w:spacing w:before="0" w:beforeAutospacing="0" w:after="0" w:afterAutospacing="0" w:line="300" w:lineRule="auto"/>
              <w:ind w:left="0" w:right="0"/>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1464" w:type="dxa"/>
            <w:shd w:val="clear" w:color="auto" w:fill="auto"/>
            <w:noWrap/>
            <w:vAlign w:val="center"/>
          </w:tcPr>
          <w:p w14:paraId="7D0ECB1B">
            <w:pPr>
              <w:keepNext w:val="0"/>
              <w:keepLines w:val="0"/>
              <w:widowControl/>
              <w:suppressLineNumbers w:val="0"/>
              <w:snapToGrid w:val="0"/>
              <w:spacing w:before="0" w:beforeAutospacing="0" w:after="0" w:afterAutospacing="0" w:line="288" w:lineRule="auto"/>
              <w:ind w:left="0" w:leftChars="0" w:right="0" w:rightChars="0"/>
              <w:jc w:val="center"/>
              <w:rPr>
                <w:rFonts w:hint="eastAsia" w:ascii="仿宋" w:hAnsi="仿宋" w:eastAsia="仿宋" w:cs="仿宋"/>
                <w:b/>
                <w:bCs/>
                <w:color w:val="000000"/>
                <w:kern w:val="2"/>
                <w:sz w:val="24"/>
                <w:szCs w:val="24"/>
                <w:lang w:val="en-US" w:eastAsia="zh-CN" w:bidi="ar-SA"/>
              </w:rPr>
            </w:pPr>
            <w:r>
              <w:rPr>
                <w:rFonts w:hint="eastAsia" w:ascii="仿宋" w:hAnsi="仿宋" w:eastAsia="仿宋" w:cs="仿宋"/>
                <w:b w:val="0"/>
                <w:kern w:val="0"/>
                <w:sz w:val="24"/>
                <w:szCs w:val="24"/>
                <w:lang w:val="en-US" w:eastAsia="zh-CN"/>
              </w:rPr>
              <w:t>智能化设计方案</w:t>
            </w:r>
          </w:p>
        </w:tc>
        <w:tc>
          <w:tcPr>
            <w:tcW w:w="6162" w:type="dxa"/>
            <w:shd w:val="clear" w:color="auto" w:fill="auto"/>
            <w:noWrap/>
            <w:vAlign w:val="center"/>
          </w:tcPr>
          <w:p w14:paraId="75A9D812">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jc w:val="left"/>
              <w:textAlignment w:val="auto"/>
              <w:rPr>
                <w:rFonts w:hint="eastAsia" w:ascii="仿宋" w:hAnsi="仿宋" w:eastAsia="仿宋" w:cs="仿宋"/>
                <w:b w:val="0"/>
                <w:kern w:val="0"/>
                <w:sz w:val="24"/>
                <w:szCs w:val="24"/>
                <w:lang w:val="en-US" w:eastAsia="zh-CN"/>
              </w:rPr>
            </w:pPr>
            <w:r>
              <w:rPr>
                <w:rFonts w:hint="eastAsia" w:ascii="仿宋" w:hAnsi="仿宋" w:eastAsia="仿宋" w:cs="仿宋"/>
                <w:b w:val="0"/>
                <w:kern w:val="0"/>
                <w:sz w:val="24"/>
                <w:szCs w:val="24"/>
                <w:lang w:val="en-US" w:eastAsia="zh-CN"/>
              </w:rPr>
              <w:t>1.智能化导视方案科学完整，包含校园总览电子地图、扫码导览、多语种切换、信息实时更新等功能设计，与实体标识系统衔接良好，技术成熟可行，得5分；</w:t>
            </w:r>
          </w:p>
          <w:p w14:paraId="3544B25D">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jc w:val="left"/>
              <w:textAlignment w:val="auto"/>
              <w:rPr>
                <w:rFonts w:hint="eastAsia" w:ascii="仿宋" w:hAnsi="仿宋" w:eastAsia="仿宋" w:cs="仿宋"/>
                <w:b w:val="0"/>
                <w:kern w:val="0"/>
                <w:sz w:val="24"/>
                <w:szCs w:val="24"/>
                <w:lang w:val="en-US" w:eastAsia="zh-CN"/>
              </w:rPr>
            </w:pPr>
            <w:r>
              <w:rPr>
                <w:rFonts w:hint="eastAsia" w:ascii="仿宋" w:hAnsi="仿宋" w:eastAsia="仿宋" w:cs="仿宋"/>
                <w:b w:val="0"/>
                <w:kern w:val="0"/>
                <w:sz w:val="24"/>
                <w:szCs w:val="24"/>
                <w:lang w:val="en-US" w:eastAsia="zh-CN"/>
              </w:rPr>
              <w:t>2.方案较完整，主要功能齐全，与实体标识系统衔接基本顺畅，得3分；</w:t>
            </w:r>
          </w:p>
          <w:p w14:paraId="347A7C80">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jc w:val="left"/>
              <w:textAlignment w:val="auto"/>
              <w:rPr>
                <w:rFonts w:hint="eastAsia" w:ascii="仿宋" w:hAnsi="仿宋" w:eastAsia="仿宋" w:cs="仿宋"/>
                <w:b w:val="0"/>
                <w:kern w:val="0"/>
                <w:sz w:val="24"/>
                <w:szCs w:val="24"/>
                <w:lang w:val="en-US" w:eastAsia="zh-CN"/>
              </w:rPr>
            </w:pPr>
            <w:r>
              <w:rPr>
                <w:rFonts w:hint="eastAsia" w:ascii="仿宋" w:hAnsi="仿宋" w:eastAsia="仿宋" w:cs="仿宋"/>
                <w:b w:val="0"/>
                <w:kern w:val="0"/>
                <w:sz w:val="24"/>
                <w:szCs w:val="24"/>
                <w:lang w:val="en-US" w:eastAsia="zh-CN"/>
              </w:rPr>
              <w:t>3.方案内容简单，功能不全或衔接不畅，可行性差，得1分；</w:t>
            </w:r>
          </w:p>
          <w:p w14:paraId="71F8D4DD">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firstLine="0" w:firstLineChars="0"/>
              <w:jc w:val="left"/>
              <w:textAlignment w:val="auto"/>
              <w:rPr>
                <w:rFonts w:hint="eastAsia" w:ascii="仿宋" w:hAnsi="仿宋" w:eastAsia="仿宋" w:cs="仿宋"/>
                <w:b w:val="0"/>
                <w:kern w:val="0"/>
                <w:sz w:val="24"/>
                <w:szCs w:val="24"/>
                <w:lang w:val="en-US" w:eastAsia="zh-CN" w:bidi="ar-SA"/>
              </w:rPr>
            </w:pPr>
            <w:r>
              <w:rPr>
                <w:rFonts w:hint="eastAsia" w:ascii="仿宋" w:hAnsi="仿宋" w:eastAsia="仿宋" w:cs="仿宋"/>
                <w:b w:val="0"/>
                <w:kern w:val="0"/>
                <w:sz w:val="24"/>
                <w:szCs w:val="24"/>
                <w:lang w:val="en-US" w:eastAsia="zh-CN"/>
              </w:rPr>
              <w:t>4.未提供方案的，不得分。</w:t>
            </w:r>
          </w:p>
        </w:tc>
        <w:tc>
          <w:tcPr>
            <w:tcW w:w="1141" w:type="dxa"/>
            <w:shd w:val="clear" w:color="auto" w:fill="auto"/>
            <w:noWrap/>
            <w:vAlign w:val="center"/>
          </w:tcPr>
          <w:p w14:paraId="4D904A71">
            <w:pPr>
              <w:keepNext w:val="0"/>
              <w:keepLines w:val="0"/>
              <w:suppressLineNumbers w:val="0"/>
              <w:spacing w:before="0" w:beforeAutospacing="0" w:after="0" w:afterAutospacing="0" w:line="240" w:lineRule="auto"/>
              <w:ind w:left="0" w:leftChars="0" w:right="0" w:rightChars="0"/>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5分</w:t>
            </w:r>
          </w:p>
        </w:tc>
      </w:tr>
      <w:tr w14:paraId="6AC17B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56" w:type="dxa"/>
            <w:noWrap/>
            <w:vAlign w:val="center"/>
          </w:tcPr>
          <w:p w14:paraId="544C2389">
            <w:pPr>
              <w:keepNext w:val="0"/>
              <w:keepLines w:val="0"/>
              <w:suppressLineNumbers w:val="0"/>
              <w:adjustRightInd w:val="0"/>
              <w:snapToGrid w:val="0"/>
              <w:spacing w:before="0" w:beforeAutospacing="0" w:after="0" w:afterAutospacing="0" w:line="300" w:lineRule="auto"/>
              <w:ind w:left="0" w:right="0"/>
              <w:jc w:val="center"/>
              <w:rPr>
                <w:rFonts w:hint="eastAsia" w:ascii="仿宋" w:hAnsi="仿宋" w:eastAsia="仿宋" w:cs="仿宋"/>
                <w:color w:val="auto"/>
                <w:sz w:val="24"/>
                <w:szCs w:val="24"/>
                <w:highlight w:val="none"/>
                <w:lang w:val="en-US" w:eastAsia="zh-CN"/>
              </w:rPr>
            </w:pPr>
          </w:p>
        </w:tc>
        <w:tc>
          <w:tcPr>
            <w:tcW w:w="7626" w:type="dxa"/>
            <w:gridSpan w:val="2"/>
            <w:shd w:val="clear" w:color="auto" w:fill="auto"/>
            <w:noWrap/>
            <w:vAlign w:val="center"/>
          </w:tcPr>
          <w:p w14:paraId="4574C832">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firstLine="0" w:firstLineChars="0"/>
              <w:jc w:val="left"/>
              <w:textAlignment w:val="auto"/>
              <w:rPr>
                <w:rFonts w:hint="eastAsia" w:ascii="仿宋" w:hAnsi="仿宋" w:eastAsia="仿宋" w:cs="仿宋"/>
                <w:b/>
                <w:bCs/>
                <w:color w:val="000000"/>
                <w:sz w:val="24"/>
                <w:szCs w:val="24"/>
                <w:lang w:val="en-US" w:eastAsia="zh-CN"/>
              </w:rPr>
            </w:pPr>
            <w:r>
              <w:rPr>
                <w:rFonts w:hint="eastAsia" w:ascii="仿宋" w:hAnsi="仿宋" w:eastAsia="仿宋" w:cs="仿宋"/>
                <w:color w:val="000000"/>
                <w:sz w:val="24"/>
                <w:szCs w:val="24"/>
                <w:lang w:val="en-US" w:eastAsia="zh-CN"/>
              </w:rPr>
              <w:t>2.</w:t>
            </w:r>
            <w:r>
              <w:rPr>
                <w:rFonts w:hint="eastAsia" w:ascii="仿宋" w:hAnsi="仿宋" w:eastAsia="仿宋" w:cs="仿宋"/>
                <w:sz w:val="24"/>
                <w:szCs w:val="24"/>
                <w:lang w:val="en-US" w:eastAsia="zh-CN"/>
              </w:rPr>
              <w:t>投标报价</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30</w:t>
            </w:r>
            <w:r>
              <w:rPr>
                <w:rFonts w:hint="eastAsia" w:ascii="仿宋" w:hAnsi="仿宋" w:eastAsia="仿宋" w:cs="仿宋"/>
                <w:color w:val="000000"/>
                <w:sz w:val="24"/>
                <w:szCs w:val="24"/>
              </w:rPr>
              <w:t>分</w:t>
            </w:r>
            <w:r>
              <w:rPr>
                <w:rFonts w:hint="eastAsia" w:ascii="仿宋" w:hAnsi="仿宋" w:eastAsia="仿宋" w:cs="仿宋"/>
                <w:color w:val="000000"/>
                <w:sz w:val="24"/>
                <w:szCs w:val="24"/>
                <w:lang w:eastAsia="zh-CN"/>
              </w:rPr>
              <w:t>）</w:t>
            </w:r>
          </w:p>
        </w:tc>
        <w:tc>
          <w:tcPr>
            <w:tcW w:w="1141" w:type="dxa"/>
            <w:noWrap/>
            <w:vAlign w:val="center"/>
          </w:tcPr>
          <w:p w14:paraId="5E8667B5">
            <w:pPr>
              <w:keepNext w:val="0"/>
              <w:keepLines w:val="0"/>
              <w:suppressLineNumbers w:val="0"/>
              <w:spacing w:before="0" w:beforeAutospacing="0" w:after="0" w:afterAutospacing="0" w:line="240" w:lineRule="auto"/>
              <w:ind w:left="0" w:right="0"/>
              <w:jc w:val="center"/>
              <w:rPr>
                <w:rFonts w:hint="eastAsia" w:ascii="仿宋" w:hAnsi="仿宋" w:eastAsia="仿宋" w:cs="仿宋"/>
                <w:sz w:val="24"/>
                <w:szCs w:val="24"/>
                <w:lang w:val="en-US" w:eastAsia="zh-CN"/>
              </w:rPr>
            </w:pPr>
          </w:p>
        </w:tc>
      </w:tr>
      <w:tr w14:paraId="66C8E4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56" w:type="dxa"/>
            <w:noWrap/>
            <w:vAlign w:val="center"/>
          </w:tcPr>
          <w:p w14:paraId="200A8D14">
            <w:pPr>
              <w:keepNext w:val="0"/>
              <w:keepLines w:val="0"/>
              <w:suppressLineNumbers w:val="0"/>
              <w:adjustRightInd w:val="0"/>
              <w:snapToGrid w:val="0"/>
              <w:spacing w:before="0" w:beforeAutospacing="0" w:after="0" w:afterAutospacing="0" w:line="300" w:lineRule="auto"/>
              <w:ind w:left="0" w:right="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15</w:t>
            </w:r>
          </w:p>
        </w:tc>
        <w:tc>
          <w:tcPr>
            <w:tcW w:w="1464" w:type="dxa"/>
            <w:shd w:val="clear" w:color="auto" w:fill="auto"/>
            <w:noWrap/>
            <w:vAlign w:val="center"/>
          </w:tcPr>
          <w:p w14:paraId="51BF741C">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投标报价（30分）</w:t>
            </w:r>
          </w:p>
        </w:tc>
        <w:tc>
          <w:tcPr>
            <w:tcW w:w="6162" w:type="dxa"/>
            <w:shd w:val="clear" w:color="auto" w:fill="auto"/>
            <w:noWrap/>
            <w:vAlign w:val="center"/>
          </w:tcPr>
          <w:p w14:paraId="01E4C015">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满足招标文件要求且报价最低的供应商的价格分为满分，其他供应商的价格分统一按照下列公式计算：投标报价得分＝（评标基准价/投标报价）×投标报价满分。</w:t>
            </w:r>
          </w:p>
          <w:p w14:paraId="5F12A0E9">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88" w:lineRule="auto"/>
              <w:ind w:left="0" w:leftChars="0" w:right="0" w:rightChars="0" w:firstLine="0" w:firstLineChars="0"/>
              <w:jc w:val="left"/>
              <w:textAlignment w:val="auto"/>
              <w:rPr>
                <w:rFonts w:hint="eastAsia" w:ascii="仿宋" w:hAnsi="仿宋" w:eastAsia="仿宋" w:cs="仿宋"/>
                <w:sz w:val="24"/>
                <w:szCs w:val="24"/>
                <w:lang w:val="en-US" w:eastAsia="zh-CN"/>
              </w:rPr>
            </w:pPr>
            <w:r>
              <w:rPr>
                <w:rFonts w:hint="eastAsia" w:ascii="仿宋" w:hAnsi="仿宋" w:eastAsia="仿宋" w:cs="仿宋"/>
                <w:b/>
                <w:bCs/>
                <w:sz w:val="24"/>
                <w:szCs w:val="24"/>
                <w:lang w:bidi="ar"/>
              </w:rPr>
              <w:t>注：</w:t>
            </w:r>
            <w:r>
              <w:rPr>
                <w:rFonts w:hint="eastAsia" w:ascii="仿宋" w:hAnsi="仿宋" w:eastAsia="仿宋" w:cs="仿宋"/>
                <w:sz w:val="24"/>
                <w:szCs w:val="24"/>
                <w:lang w:val="en-US" w:eastAsia="zh-CN"/>
              </w:rPr>
              <w:t>高于预算限价的报价为无效报价；满足磋商文件全部要求的有效报价，最低有效报价=评标基准价，价格满分30分。</w:t>
            </w:r>
          </w:p>
        </w:tc>
        <w:tc>
          <w:tcPr>
            <w:tcW w:w="1141" w:type="dxa"/>
            <w:noWrap/>
            <w:vAlign w:val="center"/>
          </w:tcPr>
          <w:p w14:paraId="02901371">
            <w:pPr>
              <w:keepNext w:val="0"/>
              <w:keepLines w:val="0"/>
              <w:suppressLineNumbers w:val="0"/>
              <w:spacing w:before="0" w:beforeAutospacing="0" w:after="0" w:afterAutospacing="0" w:line="240" w:lineRule="auto"/>
              <w:ind w:left="0" w:right="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30分</w:t>
            </w:r>
          </w:p>
        </w:tc>
      </w:tr>
    </w:tbl>
    <w:p w14:paraId="0E087F18">
      <w:pPr>
        <w:pStyle w:val="38"/>
        <w:adjustRightInd w:val="0"/>
        <w:snapToGrid w:val="0"/>
        <w:spacing w:line="360" w:lineRule="auto"/>
        <w:ind w:firstLine="438" w:firstLineChars="200"/>
        <w:rPr>
          <w:rFonts w:hint="eastAsia" w:ascii="仿宋" w:hAnsi="仿宋" w:eastAsia="仿宋" w:cs="仿宋"/>
          <w:sz w:val="24"/>
          <w:szCs w:val="24"/>
        </w:rPr>
      </w:pPr>
      <w:r>
        <w:rPr>
          <w:rFonts w:hint="eastAsia" w:ascii="仿宋" w:hAnsi="仿宋" w:eastAsia="仿宋" w:cs="仿宋"/>
          <w:b/>
          <w:color w:val="auto"/>
          <w:sz w:val="24"/>
          <w:szCs w:val="24"/>
          <w:highlight w:val="none"/>
        </w:rPr>
        <w:t>注：供应商提供的与采购活动有关的各类证书、证明、文件、资料等的真实性、合法性由供应商负全责。磋商小组一律不负责进行核查确认。磋商小组发现供应商存在弄虚作假嫌疑的，或者由其他供应商和其他利害关系人投诉举报发现供应商存在弄虚作假行为的,提请有关监督部门另行立案调查，磋商与评审工作正常进行；有关监督部门调查确认弄虚作假情况属实的，如果该供应商已被确定为成交候选人的，由采购人按照法律法规相关规定取消其成交资格，并从其他成交侯选人中依照推荐次序确定成交供应商。</w:t>
      </w:r>
      <w:bookmarkEnd w:id="615"/>
    </w:p>
    <w:p w14:paraId="442977FC">
      <w:pPr>
        <w:rPr>
          <w:rFonts w:hint="eastAsia" w:ascii="仿宋" w:hAnsi="仿宋" w:eastAsia="仿宋" w:cs="仿宋"/>
          <w:b/>
          <w:color w:val="auto"/>
          <w:sz w:val="28"/>
          <w:highlight w:val="none"/>
        </w:rPr>
      </w:pPr>
      <w:r>
        <w:rPr>
          <w:rFonts w:hint="eastAsia" w:ascii="仿宋" w:hAnsi="仿宋" w:eastAsia="仿宋" w:cs="仿宋"/>
          <w:b/>
          <w:color w:val="auto"/>
          <w:sz w:val="28"/>
          <w:highlight w:val="none"/>
        </w:rPr>
        <w:br w:type="page"/>
      </w:r>
    </w:p>
    <w:p w14:paraId="76C2B3ED">
      <w:pPr>
        <w:spacing w:line="360" w:lineRule="auto"/>
        <w:jc w:val="center"/>
        <w:rPr>
          <w:rFonts w:hint="eastAsia" w:ascii="仿宋" w:hAnsi="仿宋" w:eastAsia="仿宋" w:cs="仿宋"/>
          <w:b/>
          <w:color w:val="auto"/>
          <w:sz w:val="28"/>
          <w:highlight w:val="none"/>
        </w:rPr>
      </w:pPr>
      <w:r>
        <w:rPr>
          <w:rFonts w:hint="eastAsia" w:ascii="仿宋" w:hAnsi="仿宋" w:eastAsia="仿宋" w:cs="仿宋"/>
          <w:b/>
          <w:color w:val="auto"/>
          <w:sz w:val="28"/>
          <w:highlight w:val="none"/>
        </w:rPr>
        <w:t>二、评审办法</w:t>
      </w:r>
    </w:p>
    <w:p w14:paraId="1E52C205">
      <w:pPr>
        <w:pStyle w:val="3"/>
        <w:widowControl/>
        <w:adjustRightInd w:val="0"/>
        <w:spacing w:line="360" w:lineRule="auto"/>
        <w:ind w:firstLine="438" w:firstLineChars="200"/>
        <w:rPr>
          <w:rFonts w:hint="eastAsia" w:ascii="仿宋" w:hAnsi="仿宋" w:eastAsia="仿宋" w:cs="仿宋"/>
          <w:bCs w:val="0"/>
          <w:color w:val="auto"/>
          <w:sz w:val="24"/>
          <w:szCs w:val="24"/>
          <w:highlight w:val="none"/>
        </w:rPr>
      </w:pPr>
      <w:r>
        <w:rPr>
          <w:rFonts w:hint="eastAsia" w:ascii="仿宋" w:hAnsi="仿宋" w:eastAsia="仿宋" w:cs="仿宋"/>
          <w:bCs w:val="0"/>
          <w:color w:val="auto"/>
          <w:sz w:val="24"/>
          <w:szCs w:val="24"/>
          <w:highlight w:val="none"/>
        </w:rPr>
        <w:t>1. 磋商与评审方法</w:t>
      </w:r>
    </w:p>
    <w:p w14:paraId="246BED38">
      <w:pPr>
        <w:pStyle w:val="38"/>
        <w:adjustRightInd w:val="0"/>
        <w:snapToGrid w:val="0"/>
        <w:spacing w:line="360" w:lineRule="auto"/>
        <w:ind w:firstLine="438" w:firstLineChars="200"/>
        <w:rPr>
          <w:rFonts w:hint="eastAsia" w:ascii="仿宋" w:hAnsi="仿宋" w:eastAsia="仿宋" w:cs="仿宋"/>
          <w:color w:val="auto"/>
          <w:sz w:val="24"/>
          <w:szCs w:val="24"/>
          <w:highlight w:val="none"/>
        </w:rPr>
      </w:pPr>
      <w:bookmarkStart w:id="623" w:name="_Toc466024567"/>
      <w:bookmarkStart w:id="624" w:name="_Toc455587284"/>
      <w:bookmarkStart w:id="625" w:name="_Toc445554768"/>
      <w:bookmarkStart w:id="626" w:name="_Toc455587100"/>
      <w:r>
        <w:rPr>
          <w:rFonts w:hint="eastAsia" w:ascii="仿宋" w:hAnsi="仿宋" w:eastAsia="仿宋" w:cs="仿宋"/>
          <w:color w:val="auto"/>
          <w:sz w:val="24"/>
          <w:szCs w:val="24"/>
          <w:highlight w:val="none"/>
        </w:rPr>
        <w:t>本次评审采用综合评分法。磋商小组对响应文件满足采购文件初步评审要求且按照评审因素的量化指标评审得分由高到低的顺序推荐1-3名候选成交供应商。若评审得分出现两家或两家以上相同者，按最终报价由低到高排序确定排序。</w:t>
      </w:r>
    </w:p>
    <w:p w14:paraId="50725781">
      <w:pPr>
        <w:pStyle w:val="3"/>
        <w:widowControl/>
        <w:adjustRightInd w:val="0"/>
        <w:spacing w:line="360" w:lineRule="auto"/>
        <w:ind w:firstLine="438" w:firstLineChars="200"/>
        <w:rPr>
          <w:rFonts w:hint="eastAsia" w:ascii="仿宋" w:hAnsi="仿宋" w:eastAsia="仿宋" w:cs="仿宋"/>
          <w:bCs w:val="0"/>
          <w:color w:val="auto"/>
          <w:sz w:val="24"/>
          <w:szCs w:val="24"/>
          <w:highlight w:val="none"/>
        </w:rPr>
      </w:pPr>
      <w:r>
        <w:rPr>
          <w:rFonts w:hint="eastAsia" w:ascii="仿宋" w:hAnsi="仿宋" w:eastAsia="仿宋" w:cs="仿宋"/>
          <w:bCs w:val="0"/>
          <w:color w:val="auto"/>
          <w:sz w:val="24"/>
          <w:szCs w:val="24"/>
          <w:highlight w:val="none"/>
        </w:rPr>
        <w:t>2. 磋商小组的组成和职责</w:t>
      </w:r>
      <w:bookmarkEnd w:id="623"/>
      <w:bookmarkEnd w:id="624"/>
      <w:bookmarkEnd w:id="625"/>
      <w:bookmarkEnd w:id="626"/>
    </w:p>
    <w:p w14:paraId="55D3CC23">
      <w:pPr>
        <w:pStyle w:val="37"/>
        <w:adjustRightInd w:val="0"/>
        <w:snapToGrid w:val="0"/>
        <w:spacing w:before="0" w:line="360" w:lineRule="auto"/>
        <w:ind w:firstLine="438"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2.1 磋商小组的组成</w:t>
      </w:r>
    </w:p>
    <w:p w14:paraId="7FFB8298">
      <w:pPr>
        <w:pStyle w:val="38"/>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磋商小组由采购人依法组建。磋商小组应当推选组长，但采购人代表不得担任组长。</w:t>
      </w:r>
    </w:p>
    <w:p w14:paraId="5359CF57">
      <w:pPr>
        <w:pStyle w:val="37"/>
        <w:adjustRightInd w:val="0"/>
        <w:snapToGrid w:val="0"/>
        <w:spacing w:before="0" w:line="360" w:lineRule="auto"/>
        <w:ind w:firstLine="438"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2.2 磋商小组的职责</w:t>
      </w:r>
    </w:p>
    <w:p w14:paraId="6E29419F">
      <w:pPr>
        <w:pStyle w:val="38"/>
        <w:adjustRightInd w:val="0"/>
        <w:snapToGrid w:val="0"/>
        <w:spacing w:line="360" w:lineRule="auto"/>
        <w:ind w:firstLine="438" w:firstLineChars="200"/>
        <w:rPr>
          <w:rFonts w:hint="eastAsia" w:ascii="仿宋" w:hAnsi="仿宋" w:eastAsia="仿宋" w:cs="仿宋"/>
          <w:color w:val="auto"/>
          <w:sz w:val="24"/>
          <w:szCs w:val="24"/>
          <w:highlight w:val="none"/>
        </w:rPr>
      </w:pPr>
      <w:bookmarkStart w:id="627" w:name="_Toc455587102"/>
      <w:bookmarkStart w:id="628" w:name="_Toc466024569"/>
      <w:bookmarkStart w:id="629" w:name="_Toc455587286"/>
      <w:bookmarkStart w:id="630" w:name="_Toc445554770"/>
      <w:bookmarkStart w:id="631" w:name="_Toc455587101"/>
      <w:bookmarkStart w:id="632" w:name="_Toc455587285"/>
      <w:bookmarkStart w:id="633" w:name="_Toc466024568"/>
      <w:bookmarkStart w:id="634" w:name="_Toc445554769"/>
      <w:r>
        <w:rPr>
          <w:rFonts w:hint="eastAsia" w:ascii="仿宋" w:hAnsi="仿宋" w:eastAsia="仿宋" w:cs="仿宋"/>
          <w:color w:val="auto"/>
          <w:sz w:val="24"/>
          <w:szCs w:val="24"/>
          <w:highlight w:val="none"/>
        </w:rPr>
        <w:t>磋商小组应当根据评审方法，对响应文件进行系统地评审和比较，向采购人推荐成交候选供应商。各评委独立评审，提出评审意见，不受任何单位或者个人的干预。各评委对其各自评审结果负责，并在评审报告上签字确认。评审委员会成员对需要共同认定的事项存在争议的，按照少数服从多数的原则做出结论。持不同意见的评审委员会成员应当在评审报告上签署不同意见并说明理由，否则视为同意。评审委员会应当对此作出书面说明并记录在案。</w:t>
      </w:r>
    </w:p>
    <w:p w14:paraId="46D6E340">
      <w:pPr>
        <w:pStyle w:val="3"/>
        <w:widowControl/>
        <w:adjustRightInd w:val="0"/>
        <w:spacing w:line="360" w:lineRule="auto"/>
        <w:ind w:firstLine="438" w:firstLineChars="200"/>
        <w:rPr>
          <w:rFonts w:hint="eastAsia" w:ascii="仿宋" w:hAnsi="仿宋" w:eastAsia="仿宋" w:cs="仿宋"/>
          <w:bCs w:val="0"/>
          <w:color w:val="auto"/>
          <w:sz w:val="24"/>
          <w:szCs w:val="24"/>
          <w:highlight w:val="none"/>
        </w:rPr>
      </w:pPr>
      <w:r>
        <w:rPr>
          <w:rFonts w:hint="eastAsia" w:ascii="仿宋" w:hAnsi="仿宋" w:eastAsia="仿宋" w:cs="仿宋"/>
          <w:bCs w:val="0"/>
          <w:color w:val="auto"/>
          <w:sz w:val="24"/>
          <w:szCs w:val="24"/>
          <w:highlight w:val="none"/>
        </w:rPr>
        <w:t>3. 评审标准</w:t>
      </w:r>
      <w:bookmarkEnd w:id="627"/>
      <w:bookmarkEnd w:id="628"/>
      <w:bookmarkEnd w:id="629"/>
      <w:bookmarkEnd w:id="630"/>
    </w:p>
    <w:p w14:paraId="2F6ABE6D">
      <w:pPr>
        <w:pStyle w:val="38"/>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3.1 符合性审查标准</w:t>
      </w:r>
    </w:p>
    <w:p w14:paraId="301EB64B">
      <w:pPr>
        <w:pStyle w:val="38"/>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3.1.1 形式评审标准：见评审办法前附表。</w:t>
      </w:r>
    </w:p>
    <w:p w14:paraId="14E8983C">
      <w:pPr>
        <w:pStyle w:val="38"/>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3.1.2 资格评审标准：见评审办法前附表。</w:t>
      </w:r>
    </w:p>
    <w:p w14:paraId="1C748A9E">
      <w:pPr>
        <w:pStyle w:val="38"/>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3.1.3 响应性评审标准：见评审办法前附表。</w:t>
      </w:r>
    </w:p>
    <w:p w14:paraId="07A7DF2C">
      <w:pPr>
        <w:pStyle w:val="38"/>
        <w:adjustRightInd w:val="0"/>
        <w:snapToGrid w:val="0"/>
        <w:spacing w:line="360" w:lineRule="auto"/>
        <w:ind w:firstLine="438" w:firstLineChars="200"/>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rPr>
        <w:t xml:space="preserve">3.2 </w:t>
      </w:r>
      <w:r>
        <w:rPr>
          <w:rFonts w:hint="eastAsia" w:ascii="仿宋" w:hAnsi="仿宋" w:eastAsia="仿宋" w:cs="仿宋"/>
          <w:b/>
          <w:color w:val="auto"/>
          <w:sz w:val="24"/>
          <w:szCs w:val="24"/>
          <w:highlight w:val="none"/>
          <w:lang w:val="en-US" w:eastAsia="zh-CN"/>
        </w:rPr>
        <w:t>异常低价评审</w:t>
      </w:r>
    </w:p>
    <w:p w14:paraId="2300CA19">
      <w:pPr>
        <w:pStyle w:val="38"/>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执行《关于推动解决政府采购异常低价问题的通知》财库〔2026〕2号</w:t>
      </w:r>
    </w:p>
    <w:p w14:paraId="24C51F3B">
      <w:pPr>
        <w:pStyle w:val="38"/>
        <w:adjustRightInd w:val="0"/>
        <w:snapToGrid w:val="0"/>
        <w:spacing w:line="360" w:lineRule="auto"/>
        <w:ind w:firstLine="438"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val="en-US" w:eastAsia="zh-CN"/>
        </w:rPr>
        <w:t>3.3</w:t>
      </w:r>
      <w:r>
        <w:rPr>
          <w:rFonts w:hint="eastAsia" w:ascii="仿宋" w:hAnsi="仿宋" w:eastAsia="仿宋" w:cs="仿宋"/>
          <w:b/>
          <w:color w:val="auto"/>
          <w:sz w:val="24"/>
          <w:szCs w:val="24"/>
          <w:highlight w:val="none"/>
        </w:rPr>
        <w:t>详细评审</w:t>
      </w:r>
    </w:p>
    <w:p w14:paraId="33028D18">
      <w:pPr>
        <w:pStyle w:val="38"/>
        <w:adjustRightIn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.1 分值构成：见评审办法前附表。</w:t>
      </w:r>
    </w:p>
    <w:p w14:paraId="780EF70C">
      <w:pPr>
        <w:pStyle w:val="38"/>
        <w:adjustRightIn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.2 评审基准价计算：见评审办法前附表。</w:t>
      </w:r>
    </w:p>
    <w:p w14:paraId="7F3E3B7A">
      <w:pPr>
        <w:pStyle w:val="38"/>
        <w:adjustRightIn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.3 评分标准：见评审办法前附表。</w:t>
      </w:r>
    </w:p>
    <w:p w14:paraId="0B2E3AC7">
      <w:pPr>
        <w:pStyle w:val="3"/>
        <w:widowControl/>
        <w:adjustRightInd w:val="0"/>
        <w:spacing w:line="360" w:lineRule="auto"/>
        <w:ind w:firstLine="438" w:firstLineChars="200"/>
        <w:rPr>
          <w:rFonts w:hint="eastAsia" w:ascii="仿宋" w:hAnsi="仿宋" w:eastAsia="仿宋" w:cs="仿宋"/>
          <w:bCs w:val="0"/>
          <w:color w:val="auto"/>
          <w:sz w:val="24"/>
          <w:szCs w:val="24"/>
          <w:highlight w:val="none"/>
        </w:rPr>
      </w:pPr>
      <w:r>
        <w:rPr>
          <w:rFonts w:hint="eastAsia" w:ascii="仿宋" w:hAnsi="仿宋" w:eastAsia="仿宋" w:cs="仿宋"/>
          <w:bCs w:val="0"/>
          <w:color w:val="auto"/>
          <w:sz w:val="24"/>
          <w:szCs w:val="24"/>
          <w:highlight w:val="none"/>
        </w:rPr>
        <w:t>4. 磋商与评审程序</w:t>
      </w:r>
      <w:bookmarkEnd w:id="631"/>
      <w:bookmarkEnd w:id="632"/>
      <w:bookmarkEnd w:id="633"/>
      <w:bookmarkEnd w:id="634"/>
    </w:p>
    <w:p w14:paraId="0B4BA046">
      <w:pPr>
        <w:pStyle w:val="38"/>
        <w:adjustRightInd w:val="0"/>
        <w:snapToGrid w:val="0"/>
        <w:spacing w:line="360" w:lineRule="auto"/>
        <w:ind w:firstLine="438" w:firstLineChars="200"/>
        <w:rPr>
          <w:rFonts w:hint="eastAsia" w:ascii="仿宋" w:hAnsi="仿宋" w:eastAsia="仿宋" w:cs="仿宋"/>
          <w:b/>
          <w:color w:val="auto"/>
          <w:sz w:val="24"/>
          <w:szCs w:val="24"/>
          <w:highlight w:val="none"/>
        </w:rPr>
      </w:pPr>
      <w:bookmarkStart w:id="635" w:name="_Toc497923238"/>
      <w:bookmarkStart w:id="636" w:name="_Toc500009130"/>
      <w:r>
        <w:rPr>
          <w:rFonts w:hint="eastAsia" w:ascii="仿宋" w:hAnsi="仿宋" w:eastAsia="仿宋" w:cs="仿宋"/>
          <w:b/>
          <w:color w:val="auto"/>
          <w:sz w:val="24"/>
          <w:szCs w:val="24"/>
          <w:highlight w:val="none"/>
        </w:rPr>
        <w:t>4.1初步评审</w:t>
      </w:r>
      <w:bookmarkEnd w:id="635"/>
      <w:bookmarkEnd w:id="636"/>
    </w:p>
    <w:p w14:paraId="6DD2E7DE">
      <w:pPr>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4.1.1磋商小组依据本章第3.1款规定的标准对响应文件进行初步评审。有一项不符合评审标准的，其响应文件按无效响应处理。</w:t>
      </w:r>
    </w:p>
    <w:p w14:paraId="741C573F">
      <w:pPr>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4.1.2供应商有下列情形之一的，其响应文件按无效响应处理：</w:t>
      </w:r>
    </w:p>
    <w:p w14:paraId="2201F353">
      <w:pPr>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（1）除磋商文件可能实质性变动的条款外，响应文件未对磋商文件的其他实质性条款做出响应，或者对磋商文件的偏差超过规定的偏差范围或最高项数；</w:t>
      </w:r>
    </w:p>
    <w:p w14:paraId="4E1B8091">
      <w:pPr>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（2）有恶意串通、弄虚作假、行贿等行为。</w:t>
      </w:r>
    </w:p>
    <w:p w14:paraId="4D0023A9">
      <w:pPr>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4.1.3响应报价有算术错误的，磋商小组按以下原则对响应报价进行修正，修正的价格经供应商书面确认后具有约束力。供应商不接受修正价格的，其响应文件按无效响应处理。</w:t>
      </w:r>
    </w:p>
    <w:p w14:paraId="603D997C">
      <w:pPr>
        <w:pStyle w:val="38"/>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（1）响应文件中响应报价一览表内容与响应文件中相应内容不一致的，以响应报价一览表为准；</w:t>
      </w:r>
    </w:p>
    <w:p w14:paraId="05CEBC23">
      <w:pPr>
        <w:pStyle w:val="38"/>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（2）大写金额和小写金额不一致的，以大写金额为准；</w:t>
      </w:r>
    </w:p>
    <w:p w14:paraId="672BDCB0">
      <w:pPr>
        <w:pStyle w:val="38"/>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（3）单价金额小数点或者百分比有明显错位的，以响应报价一览表的总价为准，并修改单价；</w:t>
      </w:r>
    </w:p>
    <w:p w14:paraId="280B14E7">
      <w:pPr>
        <w:pStyle w:val="38"/>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（4）总价金额与按单价汇总金额不一致的，以总价金额计算结果为准。</w:t>
      </w:r>
    </w:p>
    <w:p w14:paraId="77A7C7EE">
      <w:pPr>
        <w:pStyle w:val="38"/>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同时出现两种以上不一致的，按照前款规定的顺序修正。修正后的报价经供应商确认后产生约束力，供应商不确认的，其响应文件按无效处理。</w:t>
      </w:r>
    </w:p>
    <w:p w14:paraId="13D5C47F">
      <w:pPr>
        <w:pStyle w:val="38"/>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成交后，以成交价为基准，同比例修正分项单价。</w:t>
      </w:r>
    </w:p>
    <w:p w14:paraId="64811875">
      <w:pPr>
        <w:pStyle w:val="38"/>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4.1.4 磋商小组按照规定的原则对响应报价进行校核时，发现响应报价存在多处算术错误或漏项的，使得响应报价校核无法进行的，其响应文件按无效处理。</w:t>
      </w:r>
    </w:p>
    <w:p w14:paraId="2C5208A9">
      <w:pPr>
        <w:pStyle w:val="4"/>
        <w:spacing w:before="120" w:after="120"/>
        <w:rPr>
          <w:rFonts w:hint="eastAsia" w:ascii="仿宋" w:hAnsi="仿宋" w:eastAsia="仿宋" w:cs="仿宋"/>
          <w:color w:val="auto"/>
          <w:sz w:val="24"/>
          <w:szCs w:val="24"/>
          <w:highlight w:val="none"/>
          <w:lang w:eastAsia="zh-CN"/>
        </w:rPr>
      </w:pPr>
      <w:bookmarkStart w:id="637" w:name="_Toc500009131"/>
      <w:bookmarkStart w:id="638" w:name="_Toc497923239"/>
      <w:r>
        <w:rPr>
          <w:rFonts w:hint="eastAsia" w:ascii="仿宋" w:hAnsi="仿宋" w:eastAsia="仿宋" w:cs="仿宋"/>
          <w:color w:val="auto"/>
          <w:sz w:val="24"/>
          <w:szCs w:val="24"/>
          <w:highlight w:val="none"/>
          <w:lang w:eastAsia="zh-CN"/>
        </w:rPr>
        <w:t>4.2磋商</w:t>
      </w:r>
      <w:bookmarkEnd w:id="637"/>
      <w:bookmarkEnd w:id="638"/>
    </w:p>
    <w:p w14:paraId="16BE10F9">
      <w:pPr>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4.2.1技术、服务要求方面磋商：磋商小组可在现场与各供应商就采购标的的技术、服务要求等内容进行一对一磋商。</w:t>
      </w:r>
    </w:p>
    <w:p w14:paraId="3AAD7477">
      <w:pPr>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4.2.2价格方面磋商：最后报价轮次为两轮，磋商响应文件中报价即为首轮报价，第二轮报价即为磋商最后报价。</w:t>
      </w:r>
    </w:p>
    <w:p w14:paraId="5F9344FD">
      <w:pPr>
        <w:pStyle w:val="4"/>
        <w:spacing w:before="120" w:after="120"/>
        <w:rPr>
          <w:rFonts w:hint="eastAsia" w:ascii="仿宋" w:hAnsi="仿宋" w:eastAsia="仿宋" w:cs="仿宋"/>
          <w:color w:val="auto"/>
          <w:sz w:val="24"/>
          <w:szCs w:val="24"/>
          <w:highlight w:val="none"/>
          <w:lang w:eastAsia="zh-CN"/>
        </w:rPr>
      </w:pPr>
      <w:bookmarkStart w:id="639" w:name="_Toc500009132"/>
      <w:bookmarkStart w:id="640" w:name="_Toc497923243"/>
      <w:r>
        <w:rPr>
          <w:rFonts w:hint="eastAsia" w:ascii="仿宋" w:hAnsi="仿宋" w:eastAsia="仿宋" w:cs="仿宋"/>
          <w:color w:val="auto"/>
          <w:sz w:val="24"/>
          <w:szCs w:val="24"/>
          <w:highlight w:val="none"/>
          <w:lang w:eastAsia="zh-CN"/>
        </w:rPr>
        <w:t>4.3最后报价</w:t>
      </w:r>
      <w:bookmarkEnd w:id="639"/>
      <w:bookmarkEnd w:id="640"/>
    </w:p>
    <w:p w14:paraId="7FDE112D">
      <w:pPr>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4.3.1各供应商的第二轮报价即作为最终报价。</w:t>
      </w:r>
    </w:p>
    <w:p w14:paraId="4C22F700">
      <w:pPr>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4.3.2最后报价有算术错误及其他错误的，磋商小组依据本章第4.1.3款进行修正，修正的价格经供应商书面确认后具有约束力。供应商不接受修正价格的，其响应文件按无效响应处理。</w:t>
      </w:r>
    </w:p>
    <w:p w14:paraId="5D6573EE">
      <w:pPr>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4.3.3修正后的最后报价若超过最高限价（如有）或修正后的单价若超过磋商文件设定的单价最高限价（如有），其响应文件按无效响应处理。</w:t>
      </w:r>
    </w:p>
    <w:p w14:paraId="77657B34">
      <w:pPr>
        <w:pStyle w:val="4"/>
        <w:spacing w:before="120" w:after="120"/>
        <w:rPr>
          <w:rFonts w:hint="eastAsia" w:ascii="仿宋" w:hAnsi="仿宋" w:eastAsia="仿宋" w:cs="仿宋"/>
          <w:color w:val="auto"/>
          <w:sz w:val="24"/>
          <w:szCs w:val="24"/>
          <w:highlight w:val="none"/>
          <w:lang w:eastAsia="zh-CN"/>
        </w:rPr>
      </w:pPr>
      <w:bookmarkStart w:id="641" w:name="_Toc500009133"/>
      <w:bookmarkStart w:id="642" w:name="_Toc497923240"/>
      <w:r>
        <w:rPr>
          <w:rFonts w:hint="eastAsia" w:ascii="仿宋" w:hAnsi="仿宋" w:eastAsia="仿宋" w:cs="仿宋"/>
          <w:color w:val="auto"/>
          <w:sz w:val="24"/>
          <w:szCs w:val="24"/>
          <w:highlight w:val="none"/>
          <w:lang w:eastAsia="zh-CN"/>
        </w:rPr>
        <w:t>4.4详细评审</w:t>
      </w:r>
      <w:bookmarkEnd w:id="641"/>
      <w:bookmarkEnd w:id="642"/>
    </w:p>
    <w:p w14:paraId="5FC8EE4C">
      <w:pPr>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4.4.1磋商小组按本章第3.2款规定的量化因素和分值进行打分，并计算出综合得分。</w:t>
      </w:r>
    </w:p>
    <w:p w14:paraId="6D47562A">
      <w:pPr>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4.4.2 评分分值计算保留小数点后两位，小数点后第三位“四舍五入”。</w:t>
      </w:r>
    </w:p>
    <w:p w14:paraId="0223C798">
      <w:pPr>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4.4.3取磋商小组对各供应商评审得分的算术平均值作为供应商得分，其中响应报价得分按规定进行计算。</w:t>
      </w:r>
    </w:p>
    <w:p w14:paraId="7660AEF9">
      <w:pPr>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4.4.4磋商小组发现供应商的最后报价明显低于其他通过初步评审单位的最后报价，有可能影响产品质量或者不能诚信履约的，应当要求其在评审现场合理的时间内提供书面说明，必要时提交相关证明材料。供应商不能合理说明或者不能提供相应证明材料的，由磋商小组认定该供应商以低于成本报价，其响应文件按无效处理。</w:t>
      </w:r>
    </w:p>
    <w:p w14:paraId="3C814188">
      <w:pPr>
        <w:pStyle w:val="37"/>
        <w:adjustRightInd w:val="0"/>
        <w:snapToGrid w:val="0"/>
        <w:spacing w:before="0" w:line="360" w:lineRule="auto"/>
        <w:ind w:firstLine="438" w:firstLineChars="200"/>
        <w:rPr>
          <w:rFonts w:hint="eastAsia" w:ascii="仿宋" w:hAnsi="仿宋" w:eastAsia="仿宋" w:cs="仿宋"/>
          <w:b/>
          <w:color w:val="auto"/>
          <w:sz w:val="24"/>
          <w:szCs w:val="24"/>
          <w:highlight w:val="none"/>
        </w:rPr>
      </w:pPr>
      <w:bookmarkStart w:id="643" w:name="_Toc455587287"/>
      <w:bookmarkStart w:id="644" w:name="_Toc455587103"/>
      <w:bookmarkStart w:id="645" w:name="_Toc445554771"/>
      <w:bookmarkStart w:id="646" w:name="_Toc466024570"/>
      <w:r>
        <w:rPr>
          <w:rFonts w:hint="eastAsia" w:ascii="仿宋" w:hAnsi="仿宋" w:eastAsia="仿宋" w:cs="仿宋"/>
          <w:b/>
          <w:color w:val="auto"/>
          <w:sz w:val="24"/>
          <w:szCs w:val="24"/>
          <w:highlight w:val="none"/>
        </w:rPr>
        <w:t>4.5 响应文件的澄清</w:t>
      </w:r>
      <w:bookmarkEnd w:id="643"/>
      <w:bookmarkEnd w:id="644"/>
      <w:bookmarkEnd w:id="645"/>
      <w:bookmarkEnd w:id="646"/>
    </w:p>
    <w:p w14:paraId="6E497A62">
      <w:pPr>
        <w:pStyle w:val="38"/>
        <w:adjustRightIn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4.5.1 评审过程中，磋商小组可以要求供应商对响应文件中含义不明确、同类问题表述不一致或者有明显文字和计算错误的内容等作出必要的澄清、说明或者补正。供应商的澄清、说明或者补正不得超出响应文件的范围或者改变响应文件的实质性内容（算术性错误修正的除外）。供应商的书面澄清、说明和补正属于响应文件的组成部分。</w:t>
      </w:r>
    </w:p>
    <w:p w14:paraId="1DAA648A">
      <w:pPr>
        <w:pStyle w:val="38"/>
        <w:adjustRightIn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4.5.2 磋商小组要求供应商澄清、说明或者更正响应文件应当以书面形式作出。供应商的澄清、说明或者更正应当由法定代表人（单位负责人）或其授权代表签字或者加盖公章。由授权代表签字的，应当附法定代表人（单位负责人）授权书。供应商为自然人的，应当由本人签字并附身份证明。</w:t>
      </w:r>
    </w:p>
    <w:p w14:paraId="2F610166">
      <w:pPr>
        <w:pStyle w:val="38"/>
        <w:adjustRightIn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4.5.3 磋商小组对供应商提交的澄清、说明或补正有疑问的，可以要求供应商进一步澄清、说明或补正，直至满足磋商小组的要求。</w:t>
      </w:r>
    </w:p>
    <w:p w14:paraId="03C77811">
      <w:pPr>
        <w:pStyle w:val="38"/>
        <w:adjustRightIn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4.5.4磋商小组不接受供应商主动提出的澄清、说明或补正。</w:t>
      </w:r>
    </w:p>
    <w:p w14:paraId="1AC14B04">
      <w:pPr>
        <w:pStyle w:val="37"/>
        <w:adjustRightInd w:val="0"/>
        <w:snapToGrid w:val="0"/>
        <w:spacing w:before="0" w:line="360" w:lineRule="auto"/>
        <w:ind w:firstLine="438" w:firstLineChars="200"/>
        <w:rPr>
          <w:rFonts w:hint="eastAsia" w:ascii="仿宋" w:hAnsi="仿宋" w:eastAsia="仿宋" w:cs="仿宋"/>
          <w:b/>
          <w:color w:val="auto"/>
          <w:sz w:val="24"/>
          <w:szCs w:val="24"/>
          <w:highlight w:val="none"/>
        </w:rPr>
      </w:pPr>
      <w:bookmarkStart w:id="647" w:name="_Toc455587288"/>
      <w:bookmarkStart w:id="648" w:name="_Toc445554772"/>
      <w:bookmarkStart w:id="649" w:name="_Toc466024571"/>
      <w:bookmarkStart w:id="650" w:name="_Toc455587104"/>
      <w:r>
        <w:rPr>
          <w:rFonts w:hint="eastAsia" w:ascii="仿宋" w:hAnsi="仿宋" w:eastAsia="仿宋" w:cs="仿宋"/>
          <w:b/>
          <w:color w:val="auto"/>
          <w:sz w:val="24"/>
          <w:szCs w:val="24"/>
          <w:highlight w:val="none"/>
        </w:rPr>
        <w:t>4.6 评审结果</w:t>
      </w:r>
      <w:bookmarkEnd w:id="647"/>
      <w:bookmarkEnd w:id="648"/>
      <w:bookmarkEnd w:id="649"/>
      <w:bookmarkEnd w:id="650"/>
    </w:p>
    <w:p w14:paraId="0B18DCAC">
      <w:pPr>
        <w:pStyle w:val="38"/>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4.6.1 除第二章供应商须知前附表委托直接确定成交供应商外，磋商小组按照得分由高到低的顺序推荐成交候选人，并标明排序。</w:t>
      </w:r>
    </w:p>
    <w:p w14:paraId="004AF84B">
      <w:pPr>
        <w:pStyle w:val="38"/>
        <w:adjustRightIn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4.6.2 完成评审后，磋商小组根据全体磋商成员签字的原始磋商与评审记录和评审结果编写评审报告。评审报告应当包括以下内容：</w:t>
      </w:r>
    </w:p>
    <w:p w14:paraId="149D886C">
      <w:pPr>
        <w:pStyle w:val="38"/>
        <w:adjustRightInd w:val="0"/>
        <w:snapToGrid w:val="0"/>
        <w:spacing w:line="360" w:lineRule="auto"/>
        <w:ind w:firstLine="438" w:firstLineChars="200"/>
        <w:rPr>
          <w:rFonts w:hint="eastAsia" w:ascii="仿宋" w:hAnsi="仿宋" w:eastAsia="仿宋" w:cs="仿宋"/>
          <w:color w:val="auto"/>
          <w:sz w:val="24"/>
          <w:szCs w:val="24"/>
          <w:highlight w:val="none"/>
        </w:rPr>
      </w:pPr>
      <w:bookmarkStart w:id="651" w:name="_Toc455587289"/>
      <w:bookmarkStart w:id="652" w:name="_Toc466024572"/>
      <w:bookmarkStart w:id="653" w:name="_Toc455587105"/>
      <w:bookmarkStart w:id="654" w:name="_Toc445554773"/>
      <w:r>
        <w:rPr>
          <w:rFonts w:hint="eastAsia" w:ascii="仿宋" w:hAnsi="仿宋" w:eastAsia="仿宋" w:cs="仿宋"/>
          <w:color w:val="auto"/>
          <w:sz w:val="24"/>
          <w:szCs w:val="24"/>
          <w:highlight w:val="none"/>
        </w:rPr>
        <w:t>（1）供应商参加采购活动的具体方式和相关情况；</w:t>
      </w:r>
    </w:p>
    <w:p w14:paraId="49207FC1">
      <w:pPr>
        <w:pStyle w:val="38"/>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（2）响应文件开启日期和地点；</w:t>
      </w:r>
    </w:p>
    <w:p w14:paraId="2FBC6D01">
      <w:pPr>
        <w:pStyle w:val="38"/>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（3）参加磋商的供应商名单和评审委员会成员名单；</w:t>
      </w:r>
    </w:p>
    <w:p w14:paraId="292F71B1">
      <w:pPr>
        <w:pStyle w:val="38"/>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（4）评审情况记录和说明，包括对供应商的资格审查情况、供应商响应文件评审情况、磋商情况、报价情况等；</w:t>
      </w:r>
    </w:p>
    <w:p w14:paraId="5ACB74E5">
      <w:pPr>
        <w:pStyle w:val="38"/>
        <w:adjustRightInd w:val="0"/>
        <w:snapToGri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（5）提出的成交候选供应商的排序名单。</w:t>
      </w:r>
    </w:p>
    <w:p w14:paraId="2372F727">
      <w:pPr>
        <w:pStyle w:val="37"/>
        <w:adjustRightInd w:val="0"/>
        <w:snapToGrid w:val="0"/>
        <w:spacing w:before="0" w:line="360" w:lineRule="auto"/>
        <w:ind w:firstLine="438"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5. 其他</w:t>
      </w:r>
      <w:bookmarkEnd w:id="651"/>
      <w:bookmarkEnd w:id="652"/>
      <w:bookmarkEnd w:id="653"/>
      <w:bookmarkEnd w:id="654"/>
    </w:p>
    <w:p w14:paraId="11D15C7A">
      <w:pPr>
        <w:pStyle w:val="38"/>
        <w:adjustRightInd w:val="0"/>
        <w:spacing w:line="360" w:lineRule="auto"/>
        <w:ind w:firstLine="438"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 供应商提供的与采购活动有关的各类证书、证明、文件、资料等的真实性、合法性由供应商负全责。磋商小组一律不负责进行核查确认。磋商小组发现供应商存在弄虚作假嫌疑的，或者由其他供应商和其他利害关系人投诉举报发现供应商存在弄虚作假行为的,提请有关监督部门另行立案调查，磋商与评审工作正常进行；有关监督部门调查确认弄虚作假情况属实的，如果该供应商已被确定为成交候选人的，由采购人按照法律法规相关规定取消其成交资格，并从其他成交侯选人中依照推荐次序确定成交供应商。</w:t>
      </w:r>
    </w:p>
    <w:p w14:paraId="3CCE7F3B">
      <w:pPr>
        <w:pStyle w:val="13"/>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5.2 供应商提供业绩、荣誉证书、各种资质、资格证书以及证明材料等文件级资料均须在响应文件中提供，电子响应文件中提供扫描件，纸质响应文件中提供复印件。如未在响应文件中提供，则初审项目视为不通过；评分项目相应项不予计分</w:t>
      </w:r>
      <w:r>
        <w:rPr>
          <w:rFonts w:hint="eastAsia" w:ascii="仿宋" w:hAnsi="仿宋" w:eastAsia="仿宋" w:cs="仿宋"/>
          <w:color w:val="auto"/>
          <w:sz w:val="24"/>
          <w:szCs w:val="24"/>
          <w:highlight w:val="none"/>
          <w:lang w:eastAsia="zh-CN"/>
        </w:rPr>
        <w:t>。</w:t>
      </w:r>
    </w:p>
    <w:p w14:paraId="16EE1C10">
      <w:pP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br w:type="page"/>
      </w:r>
    </w:p>
    <w:p w14:paraId="2F7B0BD6">
      <w:pPr>
        <w:pStyle w:val="13"/>
        <w:rPr>
          <w:rFonts w:hint="eastAsia" w:ascii="仿宋" w:hAnsi="仿宋" w:eastAsia="仿宋" w:cs="仿宋"/>
          <w:color w:val="auto"/>
          <w:szCs w:val="24"/>
          <w:highlight w:val="none"/>
          <w:lang w:eastAsia="zh-CN"/>
        </w:rPr>
        <w:sectPr>
          <w:pgSz w:w="11906" w:h="16838"/>
          <w:pgMar w:top="1440" w:right="1080" w:bottom="1440" w:left="1080" w:header="851" w:footer="992" w:gutter="0"/>
          <w:cols w:space="720" w:num="1"/>
          <w:docGrid w:type="linesAndChars" w:linePitch="312" w:charSpace="-4301"/>
        </w:sectPr>
      </w:pPr>
    </w:p>
    <w:bookmarkEnd w:id="33"/>
    <w:bookmarkEnd w:id="34"/>
    <w:bookmarkEnd w:id="35"/>
    <w:bookmarkEnd w:id="36"/>
    <w:p w14:paraId="490A5564">
      <w:pPr>
        <w:pStyle w:val="2"/>
        <w:widowControl/>
        <w:spacing w:line="240" w:lineRule="auto"/>
        <w:jc w:val="center"/>
        <w:rPr>
          <w:rFonts w:hint="eastAsia" w:ascii="仿宋" w:hAnsi="仿宋" w:eastAsia="仿宋" w:cs="仿宋"/>
          <w:color w:val="auto"/>
          <w:highlight w:val="none"/>
        </w:rPr>
      </w:pPr>
      <w:bookmarkStart w:id="655" w:name="_Toc455587299"/>
      <w:bookmarkStart w:id="656" w:name="_Toc504550717"/>
      <w:bookmarkStart w:id="657" w:name="_Toc445554783"/>
      <w:bookmarkStart w:id="658" w:name="_Toc24054"/>
      <w:bookmarkStart w:id="659" w:name="_Toc162406884"/>
      <w:bookmarkStart w:id="660" w:name="_Toc139194404"/>
      <w:bookmarkStart w:id="661" w:name="_Toc256434217"/>
      <w:bookmarkStart w:id="662" w:name="_Toc201377864"/>
      <w:bookmarkStart w:id="663" w:name="_Toc255490647"/>
      <w:bookmarkStart w:id="664" w:name="_Toc165463683"/>
      <w:bookmarkStart w:id="665" w:name="_Toc153485042"/>
      <w:bookmarkStart w:id="666" w:name="_Toc176780575"/>
      <w:bookmarkStart w:id="667" w:name="_Toc153635713"/>
      <w:bookmarkStart w:id="668" w:name="_Toc256409867"/>
      <w:bookmarkStart w:id="669" w:name="_Toc162410278"/>
      <w:bookmarkStart w:id="670" w:name="_Toc162331289"/>
      <w:bookmarkStart w:id="671" w:name="_Toc138638816"/>
      <w:bookmarkStart w:id="672" w:name="_Toc192231354"/>
      <w:bookmarkStart w:id="673" w:name="_Toc153634810"/>
      <w:bookmarkStart w:id="674" w:name="_Toc256955329"/>
      <w:bookmarkStart w:id="675" w:name="_Toc153630652"/>
      <w:bookmarkStart w:id="676" w:name="_Toc152696791"/>
      <w:bookmarkStart w:id="677" w:name="_Toc153636085"/>
      <w:bookmarkStart w:id="678" w:name="_Toc221418700"/>
      <w:bookmarkStart w:id="679" w:name="_Toc199585022"/>
      <w:bookmarkStart w:id="680" w:name="_Toc176927207"/>
      <w:bookmarkStart w:id="681" w:name="_Toc138323410"/>
      <w:bookmarkStart w:id="682" w:name="_Toc177181404"/>
      <w:r>
        <w:rPr>
          <w:rFonts w:hint="eastAsia" w:ascii="仿宋" w:hAnsi="仿宋" w:eastAsia="仿宋" w:cs="仿宋"/>
          <w:color w:val="auto"/>
          <w:highlight w:val="none"/>
        </w:rPr>
        <w:t xml:space="preserve">第五章  </w:t>
      </w:r>
      <w:bookmarkEnd w:id="655"/>
      <w:bookmarkEnd w:id="656"/>
      <w:bookmarkEnd w:id="657"/>
      <w:r>
        <w:rPr>
          <w:rFonts w:hint="eastAsia" w:ascii="仿宋" w:hAnsi="仿宋" w:eastAsia="仿宋" w:cs="仿宋"/>
          <w:color w:val="auto"/>
          <w:highlight w:val="none"/>
        </w:rPr>
        <w:t>合同主要条款和格式（参考）</w:t>
      </w:r>
      <w:bookmarkEnd w:id="658"/>
    </w:p>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14:paraId="3E0080FB">
      <w:pPr>
        <w:spacing w:line="360" w:lineRule="auto"/>
        <w:rPr>
          <w:rFonts w:hint="eastAsia" w:ascii="仿宋" w:hAnsi="仿宋" w:eastAsia="仿宋" w:cs="仿宋"/>
          <w:color w:val="auto"/>
          <w:highlight w:val="none"/>
        </w:rPr>
      </w:pPr>
    </w:p>
    <w:p w14:paraId="55117CC7">
      <w:pPr>
        <w:jc w:val="center"/>
        <w:rPr>
          <w:rFonts w:ascii="黑体" w:hAnsi="黑体" w:eastAsia="黑体" w:cs="Times New Roman"/>
          <w:b/>
          <w:color w:val="auto"/>
          <w:sz w:val="32"/>
          <w:highlight w:val="none"/>
        </w:rPr>
      </w:pPr>
      <w:bookmarkStart w:id="683" w:name="_Toc84347736"/>
      <w:r>
        <w:rPr>
          <w:rFonts w:hint="eastAsia" w:ascii="黑体" w:hAnsi="黑体" w:eastAsia="黑体" w:cs="Times New Roman"/>
          <w:b/>
          <w:color w:val="auto"/>
          <w:sz w:val="32"/>
          <w:highlight w:val="none"/>
        </w:rPr>
        <w:t>服务合同</w:t>
      </w:r>
    </w:p>
    <w:bookmarkEnd w:id="683"/>
    <w:tbl>
      <w:tblPr>
        <w:tblStyle w:val="19"/>
        <w:tblW w:w="0" w:type="auto"/>
        <w:tblInd w:w="0" w:type="dxa"/>
        <w:tblLayout w:type="autofit"/>
        <w:tblCellMar>
          <w:top w:w="0" w:type="dxa"/>
          <w:left w:w="108" w:type="dxa"/>
          <w:bottom w:w="0" w:type="dxa"/>
          <w:right w:w="108" w:type="dxa"/>
        </w:tblCellMar>
      </w:tblPr>
      <w:tblGrid>
        <w:gridCol w:w="4860"/>
        <w:gridCol w:w="3662"/>
      </w:tblGrid>
      <w:tr w14:paraId="301EA4BF">
        <w:tblPrEx>
          <w:tblCellMar>
            <w:top w:w="0" w:type="dxa"/>
            <w:left w:w="108" w:type="dxa"/>
            <w:bottom w:w="0" w:type="dxa"/>
            <w:right w:w="108" w:type="dxa"/>
          </w:tblCellMar>
        </w:tblPrEx>
        <w:trPr>
          <w:trHeight w:val="519" w:hRule="atLeast"/>
        </w:trPr>
        <w:tc>
          <w:tcPr>
            <w:tcW w:w="5529" w:type="dxa"/>
            <w:noWrap w:val="0"/>
            <w:vAlign w:val="top"/>
          </w:tcPr>
          <w:p w14:paraId="15C89869">
            <w:pPr>
              <w:keepNext w:val="0"/>
              <w:keepLines w:val="0"/>
              <w:suppressLineNumbers w:val="0"/>
              <w:spacing w:before="72" w:beforeLines="30" w:beforeAutospacing="0" w:after="72" w:afterLines="30" w:afterAutospacing="0" w:line="360" w:lineRule="auto"/>
              <w:ind w:left="0" w:right="0"/>
              <w:rPr>
                <w:rFonts w:hint="eastAsia" w:ascii="仿宋" w:hAnsi="仿宋" w:eastAsia="仿宋" w:cs="仿宋"/>
                <w:color w:val="auto"/>
                <w:szCs w:val="21"/>
                <w:highlight w:val="none"/>
              </w:rPr>
            </w:pPr>
            <w:r>
              <w:rPr>
                <w:rFonts w:hint="eastAsia" w:ascii="仿宋" w:hAnsi="仿宋" w:eastAsia="仿宋" w:cs="仿宋"/>
                <w:color w:val="auto"/>
                <w:szCs w:val="21"/>
                <w:highlight w:val="none"/>
              </w:rPr>
              <w:t>甲方：</w:t>
            </w:r>
            <w:r>
              <w:rPr>
                <w:rFonts w:hint="eastAsia" w:ascii="仿宋" w:hAnsi="仿宋" w:eastAsia="仿宋" w:cs="仿宋"/>
                <w:color w:val="auto"/>
                <w:szCs w:val="21"/>
                <w:highlight w:val="none"/>
                <w:u w:val="single"/>
              </w:rPr>
              <w:t>中国科学技术大学</w:t>
            </w:r>
          </w:p>
        </w:tc>
        <w:tc>
          <w:tcPr>
            <w:tcW w:w="4207" w:type="dxa"/>
            <w:noWrap w:val="0"/>
            <w:vAlign w:val="top"/>
          </w:tcPr>
          <w:p w14:paraId="6766530B">
            <w:pPr>
              <w:keepNext w:val="0"/>
              <w:keepLines w:val="0"/>
              <w:suppressLineNumbers w:val="0"/>
              <w:spacing w:before="72" w:beforeLines="30" w:beforeAutospacing="0" w:after="72" w:afterLines="30" w:afterAutospacing="0" w:line="360" w:lineRule="auto"/>
              <w:ind w:left="0" w:right="-867" w:rightChars="-413"/>
              <w:rPr>
                <w:rFonts w:hint="eastAsia" w:ascii="仿宋" w:hAnsi="仿宋" w:eastAsia="仿宋" w:cs="仿宋"/>
                <w:color w:val="auto"/>
                <w:szCs w:val="21"/>
                <w:highlight w:val="none"/>
              </w:rPr>
            </w:pPr>
            <w:r>
              <w:rPr>
                <w:rFonts w:hint="eastAsia" w:ascii="仿宋" w:hAnsi="仿宋" w:eastAsia="仿宋" w:cs="仿宋"/>
                <w:color w:val="auto"/>
                <w:szCs w:val="21"/>
                <w:highlight w:val="none"/>
              </w:rPr>
              <w:t>合同编号：默认为右上角条形码下方编号</w:t>
            </w:r>
          </w:p>
        </w:tc>
      </w:tr>
      <w:tr w14:paraId="17BA9D09">
        <w:tblPrEx>
          <w:tblCellMar>
            <w:top w:w="0" w:type="dxa"/>
            <w:left w:w="108" w:type="dxa"/>
            <w:bottom w:w="0" w:type="dxa"/>
            <w:right w:w="108" w:type="dxa"/>
          </w:tblCellMar>
        </w:tblPrEx>
        <w:trPr>
          <w:trHeight w:val="429" w:hRule="atLeast"/>
        </w:trPr>
        <w:tc>
          <w:tcPr>
            <w:tcW w:w="5529" w:type="dxa"/>
            <w:noWrap w:val="0"/>
            <w:vAlign w:val="top"/>
          </w:tcPr>
          <w:p w14:paraId="3A992FC9">
            <w:pPr>
              <w:keepNext w:val="0"/>
              <w:keepLines w:val="0"/>
              <w:suppressLineNumbers w:val="0"/>
              <w:spacing w:before="72" w:beforeLines="30" w:beforeAutospacing="0" w:after="72" w:afterLines="30" w:afterAutospacing="0" w:line="360" w:lineRule="auto"/>
              <w:ind w:left="0" w:right="-867" w:rightChars="-413"/>
              <w:rPr>
                <w:rFonts w:hint="eastAsia" w:ascii="仿宋" w:hAnsi="仿宋" w:eastAsia="仿宋" w:cs="仿宋"/>
                <w:color w:val="auto"/>
                <w:szCs w:val="21"/>
                <w:highlight w:val="none"/>
              </w:rPr>
            </w:pPr>
            <w:r>
              <w:rPr>
                <w:rFonts w:hint="eastAsia" w:ascii="仿宋" w:hAnsi="仿宋" w:eastAsia="仿宋" w:cs="仿宋"/>
                <w:color w:val="auto"/>
                <w:szCs w:val="21"/>
                <w:highlight w:val="none"/>
              </w:rPr>
              <w:t>乙方：</w:t>
            </w:r>
            <w:r>
              <w:rPr>
                <w:rFonts w:hint="eastAsia" w:ascii="仿宋" w:hAnsi="仿宋" w:eastAsia="仿宋" w:cs="仿宋"/>
                <w:color w:val="auto"/>
                <w:szCs w:val="21"/>
                <w:highlight w:val="none"/>
                <w:u w:val="single"/>
              </w:rPr>
              <w:t xml:space="preserve">                </w:t>
            </w:r>
          </w:p>
        </w:tc>
        <w:tc>
          <w:tcPr>
            <w:tcW w:w="4207" w:type="dxa"/>
            <w:noWrap w:val="0"/>
            <w:vAlign w:val="top"/>
          </w:tcPr>
          <w:p w14:paraId="0B8CE2B1">
            <w:pPr>
              <w:keepNext w:val="0"/>
              <w:keepLines w:val="0"/>
              <w:suppressLineNumbers w:val="0"/>
              <w:spacing w:before="72" w:beforeLines="30" w:beforeAutospacing="0" w:after="72" w:afterLines="30" w:afterAutospacing="0" w:line="360" w:lineRule="auto"/>
              <w:ind w:left="0" w:right="-867" w:rightChars="-413"/>
              <w:rPr>
                <w:rFonts w:hint="eastAsia" w:ascii="仿宋" w:hAnsi="仿宋" w:eastAsia="仿宋" w:cs="仿宋"/>
                <w:color w:val="auto"/>
                <w:szCs w:val="21"/>
                <w:highlight w:val="none"/>
              </w:rPr>
            </w:pPr>
            <w:r>
              <w:rPr>
                <w:rFonts w:hint="eastAsia" w:ascii="仿宋" w:hAnsi="仿宋" w:eastAsia="仿宋" w:cs="仿宋"/>
                <w:color w:val="auto"/>
                <w:szCs w:val="21"/>
                <w:highlight w:val="none"/>
              </w:rPr>
              <w:t>签订地点：合肥市包河区</w:t>
            </w:r>
          </w:p>
        </w:tc>
      </w:tr>
    </w:tbl>
    <w:p w14:paraId="2705250F">
      <w:pPr>
        <w:spacing w:before="48" w:beforeLines="20" w:line="360" w:lineRule="auto"/>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为明确双方权利义务，甲方和乙方一致同意按照《中华人民共和国民法典》等有关法律、法规的规定签订本合同，以兹共同遵守。</w:t>
      </w:r>
    </w:p>
    <w:p w14:paraId="38EE77D3">
      <w:pPr>
        <w:spacing w:before="72" w:beforeLines="30" w:after="72" w:afterLines="30" w:line="360" w:lineRule="auto"/>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一、服务内容及要求</w:t>
      </w:r>
    </w:p>
    <w:p w14:paraId="362E7E52">
      <w:pPr>
        <w:spacing w:before="48" w:beforeLines="20" w:line="360" w:lineRule="auto"/>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1．服务内容：</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w:t>
      </w:r>
    </w:p>
    <w:p w14:paraId="0F6DC9A3">
      <w:pPr>
        <w:spacing w:before="48" w:beforeLines="20" w:line="360" w:lineRule="auto"/>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2．服务期限：自本合同签订之日起   个月。</w:t>
      </w:r>
    </w:p>
    <w:p w14:paraId="206EF2A2">
      <w:pPr>
        <w:spacing w:before="48" w:beforeLines="20" w:line="360" w:lineRule="auto"/>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3．服务地点：</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w:t>
      </w:r>
    </w:p>
    <w:p w14:paraId="552C4A20">
      <w:pPr>
        <w:spacing w:before="48" w:beforeLines="20" w:line="360" w:lineRule="auto"/>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4．服务要求：</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w:t>
      </w:r>
    </w:p>
    <w:p w14:paraId="7888D533">
      <w:pPr>
        <w:spacing w:before="48" w:beforeLines="20" w:line="360" w:lineRule="auto"/>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5．联系人及电话：</w:t>
      </w:r>
    </w:p>
    <w:p w14:paraId="79CC33B1">
      <w:pPr>
        <w:spacing w:before="48" w:beforeLines="20" w:line="360" w:lineRule="auto"/>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甲方 姓名：</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，联系电话：</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w:t>
      </w:r>
    </w:p>
    <w:p w14:paraId="4F8BD0FE">
      <w:pPr>
        <w:spacing w:before="48" w:beforeLines="20" w:line="360" w:lineRule="auto"/>
        <w:ind w:firstLine="420"/>
        <w:rPr>
          <w:rFonts w:hint="eastAsia" w:ascii="仿宋" w:hAnsi="仿宋" w:eastAsia="仿宋" w:cs="仿宋"/>
          <w:color w:val="auto"/>
          <w:szCs w:val="21"/>
          <w:highlight w:val="none"/>
        </w:rPr>
      </w:pPr>
      <w:r>
        <w:rPr>
          <w:rFonts w:hint="eastAsia" w:ascii="仿宋" w:hAnsi="仿宋" w:eastAsia="仿宋" w:cs="仿宋"/>
          <w:color w:val="auto"/>
          <w:szCs w:val="21"/>
          <w:highlight w:val="none"/>
        </w:rPr>
        <w:t>乙方 姓名：</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，联系电话：</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w:t>
      </w:r>
    </w:p>
    <w:p w14:paraId="65721F61">
      <w:pPr>
        <w:spacing w:before="72" w:beforeLines="30" w:after="72" w:afterLines="30" w:line="360" w:lineRule="auto"/>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二、合同金额及结算方式</w:t>
      </w:r>
    </w:p>
    <w:p w14:paraId="63F37A87">
      <w:pPr>
        <w:spacing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1．本</w:t>
      </w:r>
      <w:r>
        <w:rPr>
          <w:rFonts w:hint="eastAsia" w:ascii="仿宋" w:hAnsi="仿宋" w:eastAsia="仿宋" w:cs="仿宋"/>
          <w:b/>
          <w:color w:val="auto"/>
          <w:szCs w:val="21"/>
          <w:highlight w:val="none"/>
        </w:rPr>
        <w:t>合同总金额(含税)</w:t>
      </w:r>
      <w:r>
        <w:rPr>
          <w:rFonts w:hint="eastAsia" w:ascii="仿宋" w:hAnsi="仿宋" w:eastAsia="仿宋" w:cs="仿宋"/>
          <w:color w:val="auto"/>
          <w:szCs w:val="21"/>
          <w:highlight w:val="none"/>
        </w:rPr>
        <w:t>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，大写人民币</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。本合同总金额包含完成合同服务内容所必需的人员、设备、材料等费用，包括但不限于劳务费、差旅费、设备使用费、材料费、折旧费、运输费、保险费、税金、利润及不可预见费等。</w:t>
      </w:r>
    </w:p>
    <w:p w14:paraId="63E44B80">
      <w:pPr>
        <w:spacing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2．本合同按以下</w:t>
      </w:r>
      <w:r>
        <w:rPr>
          <w:rFonts w:hint="eastAsia" w:ascii="仿宋" w:hAnsi="仿宋" w:eastAsia="仿宋" w:cs="仿宋"/>
          <w:b/>
          <w:color w:val="auto"/>
          <w:szCs w:val="21"/>
          <w:highlight w:val="none"/>
        </w:rPr>
        <w:t>第</w:t>
      </w:r>
      <w:r>
        <w:rPr>
          <w:rFonts w:hint="eastAsia" w:ascii="仿宋" w:hAnsi="仿宋" w:eastAsia="仿宋" w:cs="仿宋"/>
          <w:b/>
          <w:color w:val="auto"/>
          <w:szCs w:val="21"/>
          <w:highlight w:val="none"/>
          <w:u w:val="single"/>
        </w:rPr>
        <w:t xml:space="preserve">  </w:t>
      </w:r>
      <w:r>
        <w:rPr>
          <w:rFonts w:hint="eastAsia" w:ascii="仿宋" w:hAnsi="仿宋" w:eastAsia="仿宋" w:cs="仿宋"/>
          <w:b/>
          <w:color w:val="auto"/>
          <w:szCs w:val="21"/>
          <w:highlight w:val="none"/>
          <w:u w:val="single"/>
          <w:lang w:eastAsia="zh-CN"/>
        </w:rPr>
        <w:t>（</w:t>
      </w:r>
      <w:r>
        <w:rPr>
          <w:rFonts w:hint="eastAsia" w:ascii="仿宋" w:hAnsi="仿宋" w:eastAsia="仿宋" w:cs="仿宋"/>
          <w:b/>
          <w:color w:val="auto"/>
          <w:szCs w:val="21"/>
          <w:highlight w:val="none"/>
          <w:u w:val="single"/>
          <w:lang w:val="en-US" w:eastAsia="zh-CN"/>
        </w:rPr>
        <w:t>1）</w:t>
      </w:r>
      <w:r>
        <w:rPr>
          <w:rFonts w:hint="eastAsia" w:ascii="仿宋" w:hAnsi="仿宋" w:eastAsia="仿宋" w:cs="仿宋"/>
          <w:b/>
          <w:color w:val="auto"/>
          <w:szCs w:val="21"/>
          <w:highlight w:val="none"/>
          <w:u w:val="single"/>
        </w:rPr>
        <w:t xml:space="preserve"> </w:t>
      </w:r>
      <w:r>
        <w:rPr>
          <w:rFonts w:hint="eastAsia" w:ascii="仿宋" w:hAnsi="仿宋" w:eastAsia="仿宋" w:cs="仿宋"/>
          <w:b/>
          <w:color w:val="auto"/>
          <w:szCs w:val="21"/>
          <w:highlight w:val="none"/>
        </w:rPr>
        <w:t>种</w:t>
      </w:r>
      <w:r>
        <w:rPr>
          <w:rFonts w:hint="eastAsia" w:ascii="仿宋" w:hAnsi="仿宋" w:eastAsia="仿宋" w:cs="仿宋"/>
          <w:color w:val="auto"/>
          <w:szCs w:val="21"/>
          <w:highlight w:val="none"/>
        </w:rPr>
        <w:t>方式支付：</w:t>
      </w:r>
    </w:p>
    <w:p w14:paraId="39C12B4D">
      <w:pPr>
        <w:spacing w:line="360" w:lineRule="auto"/>
        <w:ind w:firstLine="315"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（1）一次性付款：服务完华，且甲方按照本合同服务验收标准验收合格后，由乙方开具发票，甲方于</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日内一次性全额支付合同总金额。</w:t>
      </w:r>
    </w:p>
    <w:p w14:paraId="1D7EE05B">
      <w:pPr>
        <w:spacing w:line="360" w:lineRule="auto"/>
        <w:ind w:firstLine="315"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（2）分期支付：合同签订后</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日内，甲方向乙方支付合同总金额的</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%；在完成服务或交付服务成果并经验收合格后，由乙方开具合法有效的增值税发票，甲方在收到发票后</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日内向乙方支付合同总金额的</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w:t>
      </w:r>
    </w:p>
    <w:p w14:paraId="34BD479E">
      <w:pPr>
        <w:spacing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3．本合同履约保证金按以下</w:t>
      </w:r>
      <w:r>
        <w:rPr>
          <w:rFonts w:hint="eastAsia" w:ascii="仿宋" w:hAnsi="仿宋" w:eastAsia="仿宋" w:cs="仿宋"/>
          <w:b/>
          <w:color w:val="auto"/>
          <w:szCs w:val="21"/>
          <w:highlight w:val="none"/>
        </w:rPr>
        <w:t>第</w:t>
      </w:r>
      <w:r>
        <w:rPr>
          <w:rFonts w:hint="eastAsia" w:ascii="仿宋" w:hAnsi="仿宋" w:eastAsia="仿宋" w:cs="仿宋"/>
          <w:b/>
          <w:color w:val="auto"/>
          <w:szCs w:val="21"/>
          <w:highlight w:val="none"/>
          <w:u w:val="single"/>
        </w:rPr>
        <w:t xml:space="preserve">  </w:t>
      </w:r>
      <w:r>
        <w:rPr>
          <w:rFonts w:hint="eastAsia" w:ascii="仿宋" w:hAnsi="仿宋" w:eastAsia="仿宋" w:cs="仿宋"/>
          <w:b/>
          <w:color w:val="auto"/>
          <w:szCs w:val="21"/>
          <w:highlight w:val="none"/>
          <w:u w:val="single"/>
          <w:lang w:eastAsia="zh-CN"/>
        </w:rPr>
        <w:t>（</w:t>
      </w:r>
      <w:r>
        <w:rPr>
          <w:rFonts w:hint="eastAsia" w:ascii="仿宋" w:hAnsi="仿宋" w:eastAsia="仿宋" w:cs="仿宋"/>
          <w:b/>
          <w:color w:val="auto"/>
          <w:szCs w:val="21"/>
          <w:highlight w:val="none"/>
          <w:u w:val="single"/>
          <w:lang w:val="en-US" w:eastAsia="zh-CN"/>
        </w:rPr>
        <w:t>1）</w:t>
      </w:r>
      <w:r>
        <w:rPr>
          <w:rFonts w:hint="eastAsia" w:ascii="仿宋" w:hAnsi="仿宋" w:eastAsia="仿宋" w:cs="仿宋"/>
          <w:b/>
          <w:color w:val="auto"/>
          <w:szCs w:val="21"/>
          <w:highlight w:val="none"/>
          <w:u w:val="single"/>
        </w:rPr>
        <w:t xml:space="preserve"> </w:t>
      </w:r>
      <w:r>
        <w:rPr>
          <w:rFonts w:hint="eastAsia" w:ascii="仿宋" w:hAnsi="仿宋" w:eastAsia="仿宋" w:cs="仿宋"/>
          <w:b/>
          <w:color w:val="auto"/>
          <w:szCs w:val="21"/>
          <w:highlight w:val="none"/>
        </w:rPr>
        <w:t>种</w:t>
      </w:r>
      <w:r>
        <w:rPr>
          <w:rFonts w:hint="eastAsia" w:ascii="仿宋" w:hAnsi="仿宋" w:eastAsia="仿宋" w:cs="仿宋"/>
          <w:color w:val="auto"/>
          <w:szCs w:val="21"/>
          <w:highlight w:val="none"/>
        </w:rPr>
        <w:t>方式执行：</w:t>
      </w:r>
    </w:p>
    <w:p w14:paraId="476A3576">
      <w:pPr>
        <w:spacing w:line="360" w:lineRule="auto"/>
        <w:ind w:firstLine="315"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（1）本项目无需履约保证金。</w:t>
      </w:r>
    </w:p>
    <w:p w14:paraId="28ACDCDE">
      <w:pPr>
        <w:spacing w:line="360" w:lineRule="auto"/>
        <w:ind w:firstLine="315"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（2）本合同履约保证金为合同总金额的</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。合同签订前</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日内，乙方向甲方足额交付履约保证金。在项目服务完毕、甲方验收合格后，经乙方书面申请并经甲方审核同意，扣除依合同约定发生的款项（如有）后，甲方在</w:t>
      </w:r>
      <w:r>
        <w:rPr>
          <w:rFonts w:hint="eastAsia" w:ascii="仿宋" w:hAnsi="仿宋" w:eastAsia="仿宋" w:cs="仿宋"/>
          <w:color w:val="auto"/>
          <w:szCs w:val="21"/>
          <w:highlight w:val="none"/>
          <w:u w:val="single"/>
        </w:rPr>
        <w:t>30日</w:t>
      </w:r>
      <w:r>
        <w:rPr>
          <w:rFonts w:hint="eastAsia" w:ascii="仿宋" w:hAnsi="仿宋" w:eastAsia="仿宋" w:cs="仿宋"/>
          <w:color w:val="auto"/>
          <w:szCs w:val="21"/>
          <w:highlight w:val="none"/>
        </w:rPr>
        <w:t>内无息退还至乙方账户。</w:t>
      </w:r>
    </w:p>
    <w:p w14:paraId="68C234A8">
      <w:pPr>
        <w:spacing w:before="72" w:beforeLines="30" w:after="72" w:afterLines="30" w:line="360" w:lineRule="auto"/>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三、服务质量保证</w:t>
      </w:r>
    </w:p>
    <w:p w14:paraId="048BA6B6">
      <w:pPr>
        <w:spacing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乙方按照本合同前款所述的服务时间、地点、内容、数量和质量等要求向甲方提供服务，在服务期限内，若乙方提供的服务未达到约定的数量、质量等标准，应当及时更换、补齐或提升服务质量水平至本合同要求的标准。</w:t>
      </w:r>
    </w:p>
    <w:p w14:paraId="42033C29">
      <w:pPr>
        <w:spacing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2．乙方根据甲方提供的场地、设施或材料等条件完成服务内容。乙方保证所提供的服务必须符合本合同服务项目质量标准要求及相关的国家标准、行业标准、地方标准或者其他标准、规范。</w:t>
      </w:r>
    </w:p>
    <w:p w14:paraId="7E8CDEB8">
      <w:pPr>
        <w:spacing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乙方应具有或提供本合同所载服务应当具备的各项资质及专业技术人员，对其员工进行必要的培训和管理，严格遵守甲方各项规章制度，不得泄露甲方和甲方的工作和私人信息，接受甲方对其聘用人员的必要审查；由于乙方的管理失误或乙方工作人员的过错造成甲方单位或个人设施、设备、器材、物品、资产损坏和丢失，乙方负责修复或赔偿直接经济损失和间接经济损失。</w:t>
      </w:r>
    </w:p>
    <w:p w14:paraId="50EB6CB6">
      <w:pPr>
        <w:spacing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4．乙方根据国家相关规定，向乙方服务员工支付工资和其他劳务费用，缴纳相关社会保险，并对由此产生的纠纷负责。</w:t>
      </w:r>
    </w:p>
    <w:p w14:paraId="03D42C52">
      <w:pPr>
        <w:spacing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5．如果乙方工作人员在服务中，未尽安全义务，有可能出现伤害自身或威胁到他人生命、财产安全的情况，甲方以及相关人员有权立即要求中止服务，由此产生的一切费用及损失和责任均由乙方自行承担。</w:t>
      </w:r>
    </w:p>
    <w:p w14:paraId="6DF1A212">
      <w:pPr>
        <w:spacing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6．乙方应确保向甲方提供服务的过程中不存在侵犯甲方或第三方知识产权、名誉权、隐私权等合法权利的情况，保证甲方免受任何第三方主张任何权利，否则乙方自行承担全部责任。</w:t>
      </w:r>
    </w:p>
    <w:p w14:paraId="6A2D72CA">
      <w:pPr>
        <w:spacing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7．本项目质量保证期为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u w:val="single"/>
          <w:lang w:val="en-US" w:eastAsia="zh-CN"/>
        </w:rPr>
        <w:t>24</w:t>
      </w:r>
      <w:r>
        <w:rPr>
          <w:rFonts w:hint="eastAsia" w:ascii="仿宋" w:hAnsi="仿宋" w:eastAsia="仿宋" w:cs="仿宋"/>
          <w:color w:val="auto"/>
          <w:szCs w:val="21"/>
          <w:highlight w:val="none"/>
          <w:u w:val="single"/>
        </w:rPr>
        <w:t xml:space="preserve"> 个月</w:t>
      </w:r>
      <w:r>
        <w:rPr>
          <w:rFonts w:hint="eastAsia" w:ascii="仿宋" w:hAnsi="仿宋" w:eastAsia="仿宋" w:cs="仿宋"/>
          <w:color w:val="auto"/>
          <w:szCs w:val="21"/>
          <w:highlight w:val="none"/>
        </w:rPr>
        <w:t>，自项目服务完毕、甲方验收合格之日起算。</w:t>
      </w:r>
    </w:p>
    <w:p w14:paraId="73114E57">
      <w:pPr>
        <w:spacing w:before="72" w:beforeLines="30" w:after="72" w:afterLines="30" w:line="360" w:lineRule="auto"/>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四、项目验收</w:t>
      </w:r>
    </w:p>
    <w:p w14:paraId="045DA903">
      <w:pPr>
        <w:spacing w:line="360" w:lineRule="auto"/>
        <w:ind w:firstLine="21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1．服务验收标准：                               。</w:t>
      </w:r>
    </w:p>
    <w:p w14:paraId="306C395B">
      <w:pPr>
        <w:spacing w:line="360" w:lineRule="auto"/>
        <w:ind w:firstLine="210" w:firstLineChars="1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2．服务完毕</w:t>
      </w:r>
      <w:r>
        <w:rPr>
          <w:rFonts w:hint="eastAsia" w:ascii="仿宋" w:hAnsi="仿宋" w:eastAsia="仿宋" w:cs="仿宋"/>
          <w:color w:val="auto"/>
          <w:szCs w:val="21"/>
          <w:highlight w:val="none"/>
          <w:u w:val="single"/>
        </w:rPr>
        <w:t xml:space="preserve">    日</w:t>
      </w:r>
      <w:r>
        <w:rPr>
          <w:rFonts w:hint="eastAsia" w:ascii="仿宋" w:hAnsi="仿宋" w:eastAsia="仿宋" w:cs="仿宋"/>
          <w:color w:val="auto"/>
          <w:szCs w:val="21"/>
          <w:highlight w:val="none"/>
        </w:rPr>
        <w:t>后乙方可向甲方提出书面验收申请，甲方按照相关规定及服务验收标准组织验收。如验收不合格，乙方应在</w:t>
      </w:r>
      <w:r>
        <w:rPr>
          <w:rFonts w:hint="eastAsia" w:ascii="仿宋" w:hAnsi="仿宋" w:eastAsia="仿宋" w:cs="仿宋"/>
          <w:i/>
          <w:color w:val="auto"/>
          <w:szCs w:val="21"/>
          <w:highlight w:val="none"/>
          <w:u w:val="single"/>
        </w:rPr>
        <w:t xml:space="preserve">    </w:t>
      </w:r>
      <w:r>
        <w:rPr>
          <w:rFonts w:hint="eastAsia" w:ascii="仿宋" w:hAnsi="仿宋" w:eastAsia="仿宋" w:cs="仿宋"/>
          <w:color w:val="auto"/>
          <w:szCs w:val="21"/>
          <w:highlight w:val="none"/>
          <w:u w:val="single"/>
        </w:rPr>
        <w:t>日</w:t>
      </w:r>
      <w:r>
        <w:rPr>
          <w:rFonts w:hint="eastAsia" w:ascii="仿宋" w:hAnsi="仿宋" w:eastAsia="仿宋" w:cs="仿宋"/>
          <w:color w:val="auto"/>
          <w:szCs w:val="21"/>
          <w:highlight w:val="none"/>
        </w:rPr>
        <w:t>内完成整改。</w:t>
      </w:r>
    </w:p>
    <w:p w14:paraId="572E2127">
      <w:pPr>
        <w:spacing w:before="72" w:beforeLines="30" w:after="72" w:afterLines="30" w:line="360" w:lineRule="auto"/>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五、违约责任</w:t>
      </w:r>
    </w:p>
    <w:p w14:paraId="0290B73C">
      <w:pPr>
        <w:spacing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1．排除不可抗力因素，如乙方未能按照本合同约定按时提供服务，每逾期一日按合同总金额的</w:t>
      </w:r>
      <w:r>
        <w:rPr>
          <w:rFonts w:hint="eastAsia" w:ascii="仿宋" w:hAnsi="仿宋" w:eastAsia="仿宋" w:cs="仿宋"/>
          <w:color w:val="auto"/>
          <w:szCs w:val="21"/>
          <w:highlight w:val="none"/>
          <w:u w:val="single"/>
        </w:rPr>
        <w:t xml:space="preserve"> 0.5% </w:t>
      </w:r>
      <w:r>
        <w:rPr>
          <w:rFonts w:hint="eastAsia" w:ascii="仿宋" w:hAnsi="仿宋" w:eastAsia="仿宋" w:cs="仿宋"/>
          <w:color w:val="auto"/>
          <w:szCs w:val="21"/>
          <w:highlight w:val="none"/>
        </w:rPr>
        <w:t>向甲方支付违约金，违约金上限为合同总金额的</w:t>
      </w:r>
      <w:r>
        <w:rPr>
          <w:rFonts w:hint="eastAsia" w:ascii="仿宋" w:hAnsi="仿宋" w:eastAsia="仿宋" w:cs="仿宋"/>
          <w:color w:val="auto"/>
          <w:szCs w:val="21"/>
          <w:highlight w:val="none"/>
          <w:u w:val="single"/>
        </w:rPr>
        <w:t xml:space="preserve"> 30% </w:t>
      </w:r>
      <w:r>
        <w:rPr>
          <w:rFonts w:hint="eastAsia" w:ascii="仿宋" w:hAnsi="仿宋" w:eastAsia="仿宋" w:cs="仿宋"/>
          <w:color w:val="auto"/>
          <w:szCs w:val="21"/>
          <w:highlight w:val="none"/>
        </w:rPr>
        <w:t>。</w:t>
      </w:r>
    </w:p>
    <w:p w14:paraId="15A76461">
      <w:pPr>
        <w:spacing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2．排除不可抗力因素，如遇下列情况之一者，甲方有权单方面解除合同，乙方同时需向甲方支付合同总金额</w:t>
      </w:r>
      <w:r>
        <w:rPr>
          <w:rFonts w:hint="eastAsia" w:ascii="仿宋" w:hAnsi="仿宋" w:eastAsia="仿宋" w:cs="仿宋"/>
          <w:color w:val="auto"/>
          <w:szCs w:val="21"/>
          <w:highlight w:val="none"/>
          <w:u w:val="single"/>
        </w:rPr>
        <w:t>30%</w:t>
      </w:r>
      <w:r>
        <w:rPr>
          <w:rFonts w:hint="eastAsia" w:ascii="仿宋" w:hAnsi="仿宋" w:eastAsia="仿宋" w:cs="仿宋"/>
          <w:color w:val="auto"/>
          <w:szCs w:val="21"/>
          <w:highlight w:val="none"/>
        </w:rPr>
        <w:t>的违约金，且应另行赔偿甲方因此遭受的全部损失：</w:t>
      </w:r>
    </w:p>
    <w:p w14:paraId="63CB38E2">
      <w:pPr>
        <w:spacing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（1）乙方不能按合同时限要求提供服务，逾期达到</w:t>
      </w:r>
      <w:r>
        <w:rPr>
          <w:rFonts w:hint="eastAsia" w:ascii="仿宋" w:hAnsi="仿宋" w:eastAsia="仿宋" w:cs="仿宋"/>
          <w:color w:val="auto"/>
          <w:szCs w:val="21"/>
          <w:highlight w:val="none"/>
          <w:u w:val="single"/>
        </w:rPr>
        <w:t>10日</w:t>
      </w:r>
      <w:r>
        <w:rPr>
          <w:rFonts w:hint="eastAsia" w:ascii="仿宋" w:hAnsi="仿宋" w:eastAsia="仿宋" w:cs="仿宋"/>
          <w:color w:val="auto"/>
          <w:szCs w:val="21"/>
          <w:highlight w:val="none"/>
        </w:rPr>
        <w:t>的；</w:t>
      </w:r>
    </w:p>
    <w:p w14:paraId="3543FF1E">
      <w:pPr>
        <w:spacing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（2）履约验收不合格，乙方拒绝整改、或在</w:t>
      </w:r>
      <w:r>
        <w:rPr>
          <w:rFonts w:hint="eastAsia" w:ascii="仿宋" w:hAnsi="仿宋" w:eastAsia="仿宋" w:cs="仿宋"/>
          <w:color w:val="auto"/>
          <w:szCs w:val="21"/>
          <w:highlight w:val="none"/>
          <w:u w:val="single"/>
        </w:rPr>
        <w:t>10日</w:t>
      </w:r>
      <w:r>
        <w:rPr>
          <w:rFonts w:hint="eastAsia" w:ascii="仿宋" w:hAnsi="仿宋" w:eastAsia="仿宋" w:cs="仿宋"/>
          <w:color w:val="auto"/>
          <w:szCs w:val="21"/>
          <w:highlight w:val="none"/>
        </w:rPr>
        <w:t>内未整改完成、或经整改后仍验收不合格的；</w:t>
      </w:r>
    </w:p>
    <w:p w14:paraId="4EC659E4">
      <w:pPr>
        <w:spacing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（3）质保期内，乙方对所供服务出现问题推托、拖延，经甲方要求</w:t>
      </w:r>
      <w:r>
        <w:rPr>
          <w:rFonts w:hint="eastAsia" w:ascii="仿宋" w:hAnsi="仿宋" w:eastAsia="仿宋" w:cs="仿宋"/>
          <w:color w:val="auto"/>
          <w:szCs w:val="21"/>
          <w:highlight w:val="none"/>
          <w:u w:val="single"/>
        </w:rPr>
        <w:t>24小时</w:t>
      </w:r>
      <w:r>
        <w:rPr>
          <w:rFonts w:hint="eastAsia" w:ascii="仿宋" w:hAnsi="仿宋" w:eastAsia="仿宋" w:cs="仿宋"/>
          <w:color w:val="auto"/>
          <w:szCs w:val="21"/>
          <w:highlight w:val="none"/>
        </w:rPr>
        <w:t>内无响应，</w:t>
      </w:r>
      <w:r>
        <w:rPr>
          <w:rFonts w:hint="eastAsia" w:ascii="仿宋" w:hAnsi="仿宋" w:eastAsia="仿宋" w:cs="仿宋"/>
          <w:color w:val="auto"/>
          <w:szCs w:val="21"/>
          <w:highlight w:val="none"/>
          <w:u w:val="single"/>
        </w:rPr>
        <w:t>48小时</w:t>
      </w:r>
      <w:r>
        <w:rPr>
          <w:rFonts w:hint="eastAsia" w:ascii="仿宋" w:hAnsi="仿宋" w:eastAsia="仿宋" w:cs="仿宋"/>
          <w:color w:val="auto"/>
          <w:szCs w:val="21"/>
          <w:highlight w:val="none"/>
        </w:rPr>
        <w:t>内不能提供服务方案或服务的，经甲方催促后仍不能整改或提供服务不达标的。</w:t>
      </w:r>
    </w:p>
    <w:p w14:paraId="51CE783B">
      <w:pPr>
        <w:spacing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3．质保期内，乙方对所供服务出现的问题推托、拖延，</w:t>
      </w:r>
      <w:r>
        <w:rPr>
          <w:rFonts w:hint="eastAsia" w:ascii="仿宋" w:hAnsi="仿宋" w:eastAsia="仿宋" w:cs="仿宋"/>
          <w:color w:val="auto"/>
          <w:szCs w:val="21"/>
          <w:highlight w:val="none"/>
          <w:u w:val="single"/>
        </w:rPr>
        <w:t>24小时</w:t>
      </w:r>
      <w:r>
        <w:rPr>
          <w:rFonts w:hint="eastAsia" w:ascii="仿宋" w:hAnsi="仿宋" w:eastAsia="仿宋" w:cs="仿宋"/>
          <w:color w:val="auto"/>
          <w:szCs w:val="21"/>
          <w:highlight w:val="none"/>
        </w:rPr>
        <w:t>未做出服务响应或</w:t>
      </w:r>
      <w:r>
        <w:rPr>
          <w:rFonts w:hint="eastAsia" w:ascii="仿宋" w:hAnsi="仿宋" w:eastAsia="仿宋" w:cs="仿宋"/>
          <w:color w:val="auto"/>
          <w:szCs w:val="21"/>
          <w:highlight w:val="none"/>
          <w:u w:val="single"/>
        </w:rPr>
        <w:t>48小时</w:t>
      </w:r>
      <w:r>
        <w:rPr>
          <w:rFonts w:hint="eastAsia" w:ascii="仿宋" w:hAnsi="仿宋" w:eastAsia="仿宋" w:cs="仿宋"/>
          <w:color w:val="auto"/>
          <w:szCs w:val="21"/>
          <w:highlight w:val="none"/>
        </w:rPr>
        <w:t>内不能提供服务方案或服务的，甲方有权扣除全部履约保证金不予退还，或者甲方有权找第三方提供服务，由此产生的费用从履约保证金抵扣，费用高于履约保证金或本项目未设置履约保证金的，乙方应在甲方提出损失赔偿请求之日起三日内全额赔偿，逾期支付赔偿款的，每逾期一日按合同总金额的</w:t>
      </w:r>
      <w:r>
        <w:rPr>
          <w:rFonts w:hint="eastAsia" w:ascii="仿宋" w:hAnsi="仿宋" w:eastAsia="仿宋" w:cs="仿宋"/>
          <w:color w:val="auto"/>
          <w:szCs w:val="21"/>
          <w:highlight w:val="none"/>
          <w:u w:val="single"/>
        </w:rPr>
        <w:t xml:space="preserve"> 0.5% </w:t>
      </w:r>
      <w:r>
        <w:rPr>
          <w:rFonts w:hint="eastAsia" w:ascii="仿宋" w:hAnsi="仿宋" w:eastAsia="仿宋" w:cs="仿宋"/>
          <w:color w:val="auto"/>
          <w:szCs w:val="21"/>
          <w:highlight w:val="none"/>
        </w:rPr>
        <w:t>向甲方支付违约金。</w:t>
      </w:r>
    </w:p>
    <w:p w14:paraId="5B391FD4">
      <w:pPr>
        <w:spacing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4．甲方未按时付款的，每逾期一日按欠付金额的</w:t>
      </w:r>
      <w:r>
        <w:rPr>
          <w:rFonts w:hint="eastAsia" w:ascii="仿宋" w:hAnsi="仿宋" w:eastAsia="仿宋" w:cs="仿宋"/>
          <w:color w:val="auto"/>
          <w:szCs w:val="21"/>
          <w:highlight w:val="none"/>
          <w:u w:val="single"/>
        </w:rPr>
        <w:t xml:space="preserve"> 0.5% </w:t>
      </w:r>
      <w:r>
        <w:rPr>
          <w:rFonts w:hint="eastAsia" w:ascii="仿宋" w:hAnsi="仿宋" w:eastAsia="仿宋" w:cs="仿宋"/>
          <w:color w:val="auto"/>
          <w:szCs w:val="21"/>
          <w:highlight w:val="none"/>
        </w:rPr>
        <w:t>向乙方支付违约金，违约金上限为合同总金额的</w:t>
      </w:r>
      <w:r>
        <w:rPr>
          <w:rFonts w:hint="eastAsia" w:ascii="仿宋" w:hAnsi="仿宋" w:eastAsia="仿宋" w:cs="仿宋"/>
          <w:color w:val="auto"/>
          <w:szCs w:val="21"/>
          <w:highlight w:val="none"/>
          <w:u w:val="single"/>
        </w:rPr>
        <w:t>30%</w:t>
      </w:r>
      <w:r>
        <w:rPr>
          <w:rFonts w:hint="eastAsia" w:ascii="仿宋" w:hAnsi="仿宋" w:eastAsia="仿宋" w:cs="仿宋"/>
          <w:color w:val="auto"/>
          <w:szCs w:val="21"/>
          <w:highlight w:val="none"/>
        </w:rPr>
        <w:t>。</w:t>
      </w:r>
    </w:p>
    <w:p w14:paraId="2613E2A6">
      <w:pPr>
        <w:spacing w:before="72" w:beforeLines="30" w:after="72" w:afterLines="30" w:line="360" w:lineRule="auto"/>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六、不可抗力</w:t>
      </w:r>
    </w:p>
    <w:p w14:paraId="15AAE703">
      <w:pPr>
        <w:spacing w:before="48" w:beforeLines="20"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1．若因发生不可抗力的原因导致乙方不能按合同约定期限提供服务的，应自不可抗力发生之日起</w:t>
      </w:r>
      <w:r>
        <w:rPr>
          <w:rFonts w:hint="eastAsia" w:ascii="仿宋" w:hAnsi="仿宋" w:eastAsia="仿宋" w:cs="仿宋"/>
          <w:color w:val="auto"/>
          <w:szCs w:val="21"/>
          <w:highlight w:val="none"/>
          <w:u w:val="single"/>
        </w:rPr>
        <w:t>3日</w:t>
      </w:r>
      <w:r>
        <w:rPr>
          <w:rFonts w:hint="eastAsia" w:ascii="仿宋" w:hAnsi="仿宋" w:eastAsia="仿宋" w:cs="仿宋"/>
          <w:color w:val="auto"/>
          <w:szCs w:val="21"/>
          <w:highlight w:val="none"/>
        </w:rPr>
        <w:t>内书面通知甲方中止合同履行，并于</w:t>
      </w:r>
      <w:r>
        <w:rPr>
          <w:rFonts w:hint="eastAsia" w:ascii="仿宋" w:hAnsi="仿宋" w:eastAsia="仿宋" w:cs="仿宋"/>
          <w:color w:val="auto"/>
          <w:szCs w:val="21"/>
          <w:highlight w:val="none"/>
          <w:u w:val="single"/>
        </w:rPr>
        <w:t>7日</w:t>
      </w:r>
      <w:r>
        <w:rPr>
          <w:rFonts w:hint="eastAsia" w:ascii="仿宋" w:hAnsi="仿宋" w:eastAsia="仿宋" w:cs="仿宋"/>
          <w:color w:val="auto"/>
          <w:szCs w:val="21"/>
          <w:highlight w:val="none"/>
        </w:rPr>
        <w:t>内提供相关证明，直至不可抗力结束后继续合同的履行。</w:t>
      </w:r>
    </w:p>
    <w:p w14:paraId="14304815">
      <w:pPr>
        <w:spacing w:before="48" w:beforeLines="20"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2．若不可抗力持续时间超过</w:t>
      </w:r>
      <w:r>
        <w:rPr>
          <w:rFonts w:hint="eastAsia" w:ascii="仿宋" w:hAnsi="仿宋" w:eastAsia="仿宋" w:cs="仿宋"/>
          <w:color w:val="auto"/>
          <w:szCs w:val="21"/>
          <w:highlight w:val="none"/>
          <w:u w:val="single"/>
        </w:rPr>
        <w:t>30日</w:t>
      </w:r>
      <w:r>
        <w:rPr>
          <w:rFonts w:hint="eastAsia" w:ascii="仿宋" w:hAnsi="仿宋" w:eastAsia="仿宋" w:cs="仿宋"/>
          <w:color w:val="auto"/>
          <w:szCs w:val="21"/>
          <w:highlight w:val="none"/>
        </w:rPr>
        <w:t>，甲方可单方面提出合同的解除，双方达成书面协议终止本合同的履行，双方协商清算。</w:t>
      </w:r>
    </w:p>
    <w:p w14:paraId="4A514D7E">
      <w:pPr>
        <w:spacing w:before="72" w:beforeLines="30" w:after="72" w:afterLines="30" w:line="360" w:lineRule="auto"/>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七、合同生效与终止</w:t>
      </w:r>
    </w:p>
    <w:p w14:paraId="6E8345DF">
      <w:pPr>
        <w:spacing w:before="48" w:beforeLines="20"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本合同自双方法定代表人或委托代理人签章并加盖单位公章或合同专用章时生效。本合同双方签字盖章日期即为本合同的生效日期，如双方签字盖章日期不一致时，以最后签字盖章方的签字盖章日期为合同的生效日期。</w:t>
      </w:r>
    </w:p>
    <w:p w14:paraId="4D039B73">
      <w:pPr>
        <w:spacing w:before="48" w:beforeLines="20"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2．本合同的最终质量保证期限届满日期，即为本合同的终止日期，但保密条款、争议解决和双方未了的债权和债务不受合同期满的影响，且守约方有权向违约方提出索赔。</w:t>
      </w:r>
    </w:p>
    <w:p w14:paraId="3A6DDCEE">
      <w:pPr>
        <w:spacing w:before="72" w:beforeLines="30" w:after="72" w:afterLines="30" w:line="360" w:lineRule="auto"/>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八、争议解决方式</w:t>
      </w:r>
    </w:p>
    <w:p w14:paraId="53668190">
      <w:pPr>
        <w:spacing w:before="48" w:beforeLines="20"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双方因履行本合同而发生的争议，应协商解决。协商不成的，向</w:t>
      </w:r>
      <w:r>
        <w:rPr>
          <w:rFonts w:hint="eastAsia" w:ascii="仿宋" w:hAnsi="仿宋" w:eastAsia="仿宋" w:cs="仿宋"/>
          <w:color w:val="auto"/>
          <w:szCs w:val="21"/>
          <w:highlight w:val="none"/>
          <w:u w:val="single"/>
        </w:rPr>
        <w:t>甲方所在地</w:t>
      </w:r>
      <w:r>
        <w:rPr>
          <w:rFonts w:hint="eastAsia" w:ascii="仿宋" w:hAnsi="仿宋" w:eastAsia="仿宋" w:cs="仿宋"/>
          <w:color w:val="auto"/>
          <w:szCs w:val="21"/>
          <w:highlight w:val="none"/>
        </w:rPr>
        <w:t>有管辖权的人民法院提起诉讼。</w:t>
      </w:r>
    </w:p>
    <w:p w14:paraId="252F3FFE">
      <w:pPr>
        <w:spacing w:before="72" w:beforeLines="30" w:line="360" w:lineRule="auto"/>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九、安全生产管理</w:t>
      </w:r>
    </w:p>
    <w:p w14:paraId="6CA2A1D5">
      <w:pPr>
        <w:spacing w:before="72" w:beforeLines="30"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乙方应严格遵守国家有关安全生产的要求并服从甲方的安全监督管理，乙方如果在合同履行过程中需要甲方提供相关安全防护措施，应当以书面方式积极地向甲方提请支持；如果乙方没有以书面的方式提请甲方支持，视为不需要甲方提供特别的安全保护措施，甲方已经尽到了所有的安全保护义务，因安全防护措施不力造成事故的全部责任和损失由乙方承担。</w:t>
      </w:r>
    </w:p>
    <w:p w14:paraId="3BBAC0F7">
      <w:pPr>
        <w:spacing w:before="72" w:beforeLines="30" w:after="72" w:afterLines="30" w:line="360" w:lineRule="auto"/>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十、附则</w:t>
      </w:r>
    </w:p>
    <w:p w14:paraId="535FC82F">
      <w:pPr>
        <w:spacing w:before="72" w:beforeLines="30"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1．甲、乙双方均需对合同签订与履行的过程中知悉的对方保密信息承担保密责任，不得以任何理由截取、存留，向第三方提供对方保密信息。</w:t>
      </w:r>
    </w:p>
    <w:p w14:paraId="058903B1">
      <w:pPr>
        <w:spacing w:before="72" w:beforeLines="30"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2．乙方应充分了解并遵守国内外出口管制和经济制裁等法律法规，不得代表甲方在违反法律法规或政策的情况下开展相关贸易活动。</w:t>
      </w:r>
    </w:p>
    <w:p w14:paraId="3AFB43FF">
      <w:pPr>
        <w:spacing w:before="72" w:beforeLines="30"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任何根据本合同发出的纸质版文件、通知和法律文书，双方均应以面呈、快递或邮寄挂号信的方式送达至本合同载明的地址，付邮三日后即视为文件、通知和法律文书已经通知并送达对方。若联系地址变更的，应在一周内函告对方，否则按原联系地址发送文件三日后视为送达。如发生诉讼，该送达地址视为法院的送达地址。</w:t>
      </w:r>
    </w:p>
    <w:p w14:paraId="753EF6D8">
      <w:pPr>
        <w:spacing w:before="48" w:beforeLines="20"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4．下列文件及有关附件是本合同不可分割的组成部分，与本合同具有同等法律效力，这些文件包括但不限于：①甲方的采购文件；②乙方提供的响应/报价文件；③乙方服务承诺；④甲乙双方商定的其他文件。合同与其他附件有冲突时以合同文本为准；附件之间有冲突时，顺序在先的附件有优先解释权。如有未尽事宜，双方应在本合同达成的原则基础上以补充协议的方式达成共识，补充协议与本合同具有同等的法律效力。</w:t>
      </w:r>
    </w:p>
    <w:p w14:paraId="70D78E0C">
      <w:pPr>
        <w:spacing w:line="360" w:lineRule="auto"/>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5．本合同一式</w:t>
      </w:r>
      <w:r>
        <w:rPr>
          <w:rFonts w:hint="eastAsia" w:ascii="仿宋" w:hAnsi="仿宋" w:eastAsia="仿宋" w:cs="仿宋"/>
          <w:color w:val="auto"/>
          <w:szCs w:val="21"/>
          <w:highlight w:val="none"/>
          <w:u w:val="single"/>
        </w:rPr>
        <w:t xml:space="preserve"> 肆 </w:t>
      </w:r>
      <w:r>
        <w:rPr>
          <w:rFonts w:hint="eastAsia" w:ascii="仿宋" w:hAnsi="仿宋" w:eastAsia="仿宋" w:cs="仿宋"/>
          <w:color w:val="auto"/>
          <w:szCs w:val="21"/>
          <w:highlight w:val="none"/>
        </w:rPr>
        <w:t>份，甲方执</w:t>
      </w:r>
      <w:r>
        <w:rPr>
          <w:rFonts w:hint="eastAsia" w:ascii="仿宋" w:hAnsi="仿宋" w:eastAsia="仿宋" w:cs="仿宋"/>
          <w:color w:val="auto"/>
          <w:szCs w:val="21"/>
          <w:highlight w:val="none"/>
          <w:u w:val="single"/>
        </w:rPr>
        <w:t xml:space="preserve"> 叁 </w:t>
      </w:r>
      <w:r>
        <w:rPr>
          <w:rFonts w:hint="eastAsia" w:ascii="仿宋" w:hAnsi="仿宋" w:eastAsia="仿宋" w:cs="仿宋"/>
          <w:color w:val="auto"/>
          <w:szCs w:val="21"/>
          <w:highlight w:val="none"/>
        </w:rPr>
        <w:t>份，乙方执</w:t>
      </w:r>
      <w:r>
        <w:rPr>
          <w:rFonts w:hint="eastAsia" w:ascii="仿宋" w:hAnsi="仿宋" w:eastAsia="仿宋" w:cs="仿宋"/>
          <w:color w:val="auto"/>
          <w:szCs w:val="21"/>
          <w:highlight w:val="none"/>
          <w:u w:val="single"/>
        </w:rPr>
        <w:t xml:space="preserve"> 壹 </w:t>
      </w:r>
      <w:r>
        <w:rPr>
          <w:rFonts w:hint="eastAsia" w:ascii="仿宋" w:hAnsi="仿宋" w:eastAsia="仿宋" w:cs="仿宋"/>
          <w:color w:val="auto"/>
          <w:szCs w:val="21"/>
          <w:highlight w:val="none"/>
        </w:rPr>
        <w:t>份，具有同等法律效力。</w:t>
      </w:r>
    </w:p>
    <w:p w14:paraId="76118A23">
      <w:pPr>
        <w:spacing w:line="360" w:lineRule="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（以下为签署页，无正文）</w:t>
      </w:r>
    </w:p>
    <w:p w14:paraId="74D82738">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br w:type="page"/>
      </w:r>
    </w:p>
    <w:tbl>
      <w:tblPr>
        <w:tblStyle w:val="19"/>
        <w:tblpPr w:leftFromText="180" w:rightFromText="180" w:vertAnchor="text" w:horzAnchor="margin" w:tblpY="134"/>
        <w:tblW w:w="8444"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4181"/>
        <w:gridCol w:w="4263"/>
      </w:tblGrid>
      <w:tr w14:paraId="2B79E7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9" w:hRule="atLeast"/>
        </w:trPr>
        <w:tc>
          <w:tcPr>
            <w:tcW w:w="4181" w:type="dxa"/>
            <w:noWrap w:val="0"/>
            <w:vAlign w:val="center"/>
          </w:tcPr>
          <w:p w14:paraId="7DE49F24">
            <w:pPr>
              <w:keepNext w:val="0"/>
              <w:keepLines w:val="0"/>
              <w:suppressLineNumbers w:val="0"/>
              <w:spacing w:before="0" w:beforeAutospacing="0" w:after="0" w:afterAutospacing="0" w:line="360" w:lineRule="auto"/>
              <w:ind w:left="0" w:right="0"/>
              <w:rPr>
                <w:rFonts w:hint="eastAsia" w:ascii="仿宋" w:hAnsi="仿宋" w:eastAsia="仿宋" w:cs="仿宋"/>
                <w:color w:val="auto"/>
                <w:szCs w:val="21"/>
                <w:highlight w:val="none"/>
              </w:rPr>
            </w:pPr>
            <w:r>
              <w:rPr>
                <w:rFonts w:hint="eastAsia" w:ascii="仿宋" w:hAnsi="仿宋" w:eastAsia="仿宋" w:cs="仿宋"/>
                <w:color w:val="auto"/>
                <w:szCs w:val="21"/>
                <w:highlight w:val="none"/>
              </w:rPr>
              <w:br w:type="page"/>
            </w:r>
            <w:r>
              <w:rPr>
                <w:rFonts w:hint="eastAsia" w:ascii="仿宋" w:hAnsi="仿宋" w:eastAsia="仿宋" w:cs="仿宋"/>
                <w:color w:val="auto"/>
                <w:szCs w:val="21"/>
                <w:highlight w:val="none"/>
              </w:rPr>
              <w:br w:type="page"/>
            </w:r>
            <w:r>
              <w:rPr>
                <w:rFonts w:hint="eastAsia" w:ascii="仿宋" w:hAnsi="仿宋" w:eastAsia="仿宋" w:cs="仿宋"/>
                <w:color w:val="auto"/>
                <w:szCs w:val="21"/>
                <w:highlight w:val="none"/>
              </w:rPr>
              <w:t>甲方（盖章）：中国科学技术大学</w:t>
            </w:r>
          </w:p>
        </w:tc>
        <w:tc>
          <w:tcPr>
            <w:tcW w:w="4263" w:type="dxa"/>
            <w:noWrap w:val="0"/>
            <w:vAlign w:val="center"/>
          </w:tcPr>
          <w:p w14:paraId="18416E00">
            <w:pPr>
              <w:keepNext w:val="0"/>
              <w:keepLines w:val="0"/>
              <w:suppressLineNumbers w:val="0"/>
              <w:spacing w:before="0" w:beforeAutospacing="0" w:after="0" w:afterAutospacing="0" w:line="360" w:lineRule="auto"/>
              <w:ind w:left="0" w:right="0"/>
              <w:rPr>
                <w:rFonts w:hint="eastAsia" w:ascii="仿宋" w:hAnsi="仿宋" w:eastAsia="仿宋" w:cs="仿宋"/>
                <w:color w:val="auto"/>
                <w:szCs w:val="21"/>
                <w:highlight w:val="none"/>
              </w:rPr>
            </w:pPr>
            <w:r>
              <w:rPr>
                <w:rFonts w:hint="eastAsia" w:ascii="仿宋" w:hAnsi="仿宋" w:eastAsia="仿宋" w:cs="仿宋"/>
                <w:color w:val="auto"/>
                <w:szCs w:val="21"/>
                <w:highlight w:val="none"/>
              </w:rPr>
              <w:t>乙方（盖章）：</w:t>
            </w:r>
          </w:p>
        </w:tc>
      </w:tr>
      <w:tr w14:paraId="1F5C56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06" w:hRule="atLeast"/>
        </w:trPr>
        <w:tc>
          <w:tcPr>
            <w:tcW w:w="4181" w:type="dxa"/>
            <w:noWrap w:val="0"/>
            <w:vAlign w:val="center"/>
          </w:tcPr>
          <w:p w14:paraId="0CD3CA7A">
            <w:pPr>
              <w:keepNext w:val="0"/>
              <w:keepLines w:val="0"/>
              <w:suppressLineNumbers w:val="0"/>
              <w:spacing w:before="0" w:beforeAutospacing="0" w:after="0" w:afterAutospacing="0" w:line="360" w:lineRule="auto"/>
              <w:ind w:left="0" w:right="0"/>
              <w:rPr>
                <w:rFonts w:hint="eastAsia" w:ascii="仿宋" w:hAnsi="仿宋" w:eastAsia="仿宋" w:cs="仿宋"/>
                <w:color w:val="auto"/>
                <w:szCs w:val="21"/>
                <w:highlight w:val="none"/>
              </w:rPr>
            </w:pPr>
            <w:r>
              <w:rPr>
                <w:rFonts w:hint="eastAsia" w:ascii="仿宋" w:hAnsi="仿宋" w:eastAsia="仿宋" w:cs="仿宋"/>
                <w:color w:val="auto"/>
                <w:szCs w:val="21"/>
                <w:highlight w:val="none"/>
              </w:rPr>
              <w:t>统一社会信用代码：12100000485001086E</w:t>
            </w:r>
          </w:p>
        </w:tc>
        <w:tc>
          <w:tcPr>
            <w:tcW w:w="4263" w:type="dxa"/>
            <w:noWrap w:val="0"/>
            <w:vAlign w:val="center"/>
          </w:tcPr>
          <w:p w14:paraId="4D2E6454">
            <w:pPr>
              <w:keepNext w:val="0"/>
              <w:keepLines w:val="0"/>
              <w:suppressLineNumbers w:val="0"/>
              <w:spacing w:before="0" w:beforeAutospacing="0" w:after="0" w:afterAutospacing="0" w:line="360" w:lineRule="auto"/>
              <w:ind w:left="0" w:right="0"/>
              <w:rPr>
                <w:rFonts w:hint="eastAsia" w:ascii="仿宋" w:hAnsi="仿宋" w:eastAsia="仿宋" w:cs="仿宋"/>
                <w:color w:val="auto"/>
                <w:szCs w:val="21"/>
                <w:highlight w:val="none"/>
              </w:rPr>
            </w:pPr>
            <w:r>
              <w:rPr>
                <w:rFonts w:hint="eastAsia" w:ascii="仿宋" w:hAnsi="仿宋" w:eastAsia="仿宋" w:cs="仿宋"/>
                <w:color w:val="auto"/>
                <w:szCs w:val="21"/>
                <w:highlight w:val="none"/>
              </w:rPr>
              <w:t>统一社会信用代码：</w:t>
            </w:r>
          </w:p>
        </w:tc>
      </w:tr>
      <w:tr w14:paraId="1DFB35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12" w:hRule="atLeast"/>
        </w:trPr>
        <w:tc>
          <w:tcPr>
            <w:tcW w:w="4181" w:type="dxa"/>
            <w:noWrap w:val="0"/>
            <w:vAlign w:val="center"/>
          </w:tcPr>
          <w:p w14:paraId="280DF5AB">
            <w:pPr>
              <w:keepNext w:val="0"/>
              <w:keepLines w:val="0"/>
              <w:suppressLineNumbers w:val="0"/>
              <w:spacing w:before="0" w:beforeAutospacing="0" w:after="0" w:afterAutospacing="0" w:line="360" w:lineRule="auto"/>
              <w:ind w:left="0" w:right="0"/>
              <w:rPr>
                <w:rFonts w:hint="eastAsia" w:ascii="仿宋" w:hAnsi="仿宋" w:eastAsia="仿宋" w:cs="仿宋"/>
                <w:color w:val="auto"/>
                <w:szCs w:val="21"/>
                <w:highlight w:val="none"/>
              </w:rPr>
            </w:pPr>
            <w:r>
              <w:rPr>
                <w:rFonts w:hint="eastAsia" w:ascii="仿宋" w:hAnsi="仿宋" w:eastAsia="仿宋" w:cs="仿宋"/>
                <w:color w:val="auto"/>
                <w:szCs w:val="21"/>
                <w:highlight w:val="none"/>
              </w:rPr>
              <w:t>地址：安徽省合肥市金寨路96号</w:t>
            </w:r>
          </w:p>
        </w:tc>
        <w:tc>
          <w:tcPr>
            <w:tcW w:w="4263" w:type="dxa"/>
            <w:noWrap w:val="0"/>
            <w:vAlign w:val="center"/>
          </w:tcPr>
          <w:p w14:paraId="468249CB">
            <w:pPr>
              <w:keepNext w:val="0"/>
              <w:keepLines w:val="0"/>
              <w:suppressLineNumbers w:val="0"/>
              <w:spacing w:before="0" w:beforeAutospacing="0" w:after="0" w:afterAutospacing="0" w:line="360" w:lineRule="auto"/>
              <w:ind w:left="630" w:right="0" w:hanging="630" w:hangingChars="3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地址：</w:t>
            </w:r>
          </w:p>
        </w:tc>
      </w:tr>
      <w:tr w14:paraId="36F759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17" w:hRule="atLeast"/>
        </w:trPr>
        <w:tc>
          <w:tcPr>
            <w:tcW w:w="4181" w:type="dxa"/>
            <w:noWrap w:val="0"/>
            <w:vAlign w:val="center"/>
          </w:tcPr>
          <w:p w14:paraId="35C26D6F">
            <w:pPr>
              <w:keepNext w:val="0"/>
              <w:keepLines w:val="0"/>
              <w:suppressLineNumbers w:val="0"/>
              <w:spacing w:before="0" w:beforeAutospacing="0" w:after="0" w:afterAutospacing="0" w:line="360" w:lineRule="auto"/>
              <w:ind w:left="0" w:right="0"/>
              <w:rPr>
                <w:rFonts w:hint="eastAsia" w:ascii="仿宋" w:hAnsi="仿宋" w:eastAsia="仿宋" w:cs="仿宋"/>
                <w:color w:val="auto"/>
                <w:szCs w:val="21"/>
                <w:highlight w:val="none"/>
              </w:rPr>
            </w:pPr>
            <w:r>
              <w:rPr>
                <w:rFonts w:hint="eastAsia" w:ascii="仿宋" w:hAnsi="仿宋" w:eastAsia="仿宋" w:cs="仿宋"/>
                <w:color w:val="auto"/>
                <w:szCs w:val="21"/>
                <w:highlight w:val="none"/>
              </w:rPr>
              <w:t>银行账户：184203468850</w:t>
            </w:r>
          </w:p>
        </w:tc>
        <w:tc>
          <w:tcPr>
            <w:tcW w:w="4263" w:type="dxa"/>
            <w:noWrap w:val="0"/>
            <w:vAlign w:val="center"/>
          </w:tcPr>
          <w:p w14:paraId="4F79BE37">
            <w:pPr>
              <w:keepNext w:val="0"/>
              <w:keepLines w:val="0"/>
              <w:suppressLineNumbers w:val="0"/>
              <w:spacing w:before="0" w:beforeAutospacing="0" w:after="0" w:afterAutospacing="0" w:line="360" w:lineRule="auto"/>
              <w:ind w:left="0" w:right="0"/>
              <w:rPr>
                <w:rFonts w:hint="eastAsia" w:ascii="仿宋" w:hAnsi="仿宋" w:eastAsia="仿宋" w:cs="仿宋"/>
                <w:color w:val="auto"/>
                <w:highlight w:val="none"/>
              </w:rPr>
            </w:pPr>
            <w:r>
              <w:rPr>
                <w:rFonts w:hint="eastAsia" w:ascii="仿宋" w:hAnsi="仿宋" w:eastAsia="仿宋" w:cs="仿宋"/>
                <w:color w:val="auto"/>
                <w:szCs w:val="21"/>
                <w:highlight w:val="none"/>
              </w:rPr>
              <w:t>银行账户：</w:t>
            </w:r>
          </w:p>
        </w:tc>
      </w:tr>
      <w:tr w14:paraId="3A3CC4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09" w:hRule="atLeast"/>
        </w:trPr>
        <w:tc>
          <w:tcPr>
            <w:tcW w:w="4181" w:type="dxa"/>
            <w:noWrap w:val="0"/>
            <w:vAlign w:val="center"/>
          </w:tcPr>
          <w:p w14:paraId="0E3554B2">
            <w:pPr>
              <w:keepNext w:val="0"/>
              <w:keepLines w:val="0"/>
              <w:suppressLineNumbers w:val="0"/>
              <w:spacing w:before="0" w:beforeAutospacing="0" w:after="0" w:afterAutospacing="0" w:line="360" w:lineRule="auto"/>
              <w:ind w:left="0" w:right="0"/>
              <w:rPr>
                <w:rFonts w:hint="eastAsia" w:ascii="仿宋" w:hAnsi="仿宋" w:eastAsia="仿宋" w:cs="仿宋"/>
                <w:color w:val="auto"/>
                <w:szCs w:val="21"/>
                <w:highlight w:val="none"/>
              </w:rPr>
            </w:pPr>
            <w:r>
              <w:rPr>
                <w:rFonts w:hint="eastAsia" w:ascii="仿宋" w:hAnsi="仿宋" w:eastAsia="仿宋" w:cs="仿宋"/>
                <w:color w:val="auto"/>
                <w:szCs w:val="21"/>
                <w:highlight w:val="none"/>
              </w:rPr>
              <w:t>开户银行：中国银行合肥蜀山支行营业部</w:t>
            </w:r>
          </w:p>
        </w:tc>
        <w:tc>
          <w:tcPr>
            <w:tcW w:w="4263" w:type="dxa"/>
            <w:noWrap w:val="0"/>
            <w:vAlign w:val="center"/>
          </w:tcPr>
          <w:p w14:paraId="08891A6C">
            <w:pPr>
              <w:keepNext w:val="0"/>
              <w:keepLines w:val="0"/>
              <w:suppressLineNumbers w:val="0"/>
              <w:spacing w:before="0" w:beforeAutospacing="0" w:after="0" w:afterAutospacing="0" w:line="360" w:lineRule="auto"/>
              <w:ind w:left="0" w:right="0"/>
              <w:rPr>
                <w:rFonts w:hint="eastAsia" w:ascii="仿宋" w:hAnsi="仿宋" w:eastAsia="仿宋" w:cs="仿宋"/>
                <w:color w:val="auto"/>
                <w:szCs w:val="21"/>
                <w:highlight w:val="none"/>
              </w:rPr>
            </w:pPr>
            <w:r>
              <w:rPr>
                <w:rFonts w:hint="eastAsia" w:ascii="仿宋" w:hAnsi="仿宋" w:eastAsia="仿宋" w:cs="仿宋"/>
                <w:color w:val="auto"/>
                <w:szCs w:val="21"/>
                <w:highlight w:val="none"/>
              </w:rPr>
              <w:t>开户银行：</w:t>
            </w:r>
          </w:p>
        </w:tc>
      </w:tr>
      <w:tr w14:paraId="77ACA7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61" w:hRule="atLeast"/>
        </w:trPr>
        <w:tc>
          <w:tcPr>
            <w:tcW w:w="4181" w:type="dxa"/>
            <w:noWrap w:val="0"/>
            <w:vAlign w:val="center"/>
          </w:tcPr>
          <w:p w14:paraId="6D38DA7C">
            <w:pPr>
              <w:keepNext w:val="0"/>
              <w:keepLines w:val="0"/>
              <w:suppressLineNumbers w:val="0"/>
              <w:spacing w:before="0" w:beforeAutospacing="0" w:after="0" w:afterAutospacing="0" w:line="360" w:lineRule="auto"/>
              <w:ind w:left="0" w:right="0"/>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法定代表人或</w:t>
            </w:r>
          </w:p>
          <w:p w14:paraId="4AF383FD">
            <w:pPr>
              <w:keepNext w:val="0"/>
              <w:keepLines w:val="0"/>
              <w:suppressLineNumbers w:val="0"/>
              <w:spacing w:before="0" w:beforeAutospacing="0" w:after="0" w:afterAutospacing="0" w:line="360" w:lineRule="auto"/>
              <w:ind w:left="0" w:right="0"/>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委托代理人（签章）：</w:t>
            </w:r>
          </w:p>
        </w:tc>
        <w:tc>
          <w:tcPr>
            <w:tcW w:w="4263" w:type="dxa"/>
            <w:vMerge w:val="restart"/>
            <w:noWrap w:val="0"/>
            <w:vAlign w:val="center"/>
          </w:tcPr>
          <w:p w14:paraId="56FCF53A">
            <w:pPr>
              <w:keepNext w:val="0"/>
              <w:keepLines w:val="0"/>
              <w:suppressLineNumbers w:val="0"/>
              <w:spacing w:before="0" w:beforeAutospacing="0" w:after="0" w:afterAutospacing="0" w:line="360" w:lineRule="auto"/>
              <w:ind w:left="0" w:right="0"/>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法定代表人或</w:t>
            </w:r>
          </w:p>
          <w:p w14:paraId="3B259D76">
            <w:pPr>
              <w:keepNext w:val="0"/>
              <w:keepLines w:val="0"/>
              <w:suppressLineNumbers w:val="0"/>
              <w:spacing w:before="0" w:beforeAutospacing="0" w:after="0" w:afterAutospacing="0" w:line="360" w:lineRule="auto"/>
              <w:ind w:left="0" w:right="0"/>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委托代理人（签章）：</w:t>
            </w:r>
          </w:p>
        </w:tc>
      </w:tr>
      <w:tr w14:paraId="7E9FE3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34" w:hRule="atLeast"/>
        </w:trPr>
        <w:tc>
          <w:tcPr>
            <w:tcW w:w="4181" w:type="dxa"/>
            <w:noWrap w:val="0"/>
            <w:vAlign w:val="center"/>
          </w:tcPr>
          <w:p w14:paraId="446AB3D1">
            <w:pPr>
              <w:keepNext w:val="0"/>
              <w:keepLines w:val="0"/>
              <w:suppressLineNumbers w:val="0"/>
              <w:spacing w:before="0" w:beforeAutospacing="0" w:after="0" w:afterAutospacing="0" w:line="360" w:lineRule="auto"/>
              <w:ind w:left="0" w:right="0"/>
              <w:rPr>
                <w:rFonts w:hint="eastAsia" w:ascii="仿宋" w:hAnsi="仿宋" w:eastAsia="仿宋" w:cs="仿宋"/>
                <w:color w:val="auto"/>
                <w:szCs w:val="21"/>
                <w:highlight w:val="none"/>
              </w:rPr>
            </w:pPr>
            <w:r>
              <w:rPr>
                <w:rFonts w:hint="eastAsia" w:ascii="仿宋" w:hAnsi="仿宋" w:eastAsia="仿宋" w:cs="仿宋"/>
                <w:color w:val="auto"/>
                <w:szCs w:val="21"/>
                <w:highlight w:val="none"/>
              </w:rPr>
              <w:t>合同申请人（签章）：</w:t>
            </w:r>
          </w:p>
        </w:tc>
        <w:tc>
          <w:tcPr>
            <w:tcW w:w="4263" w:type="dxa"/>
            <w:vMerge w:val="continue"/>
            <w:noWrap w:val="0"/>
            <w:vAlign w:val="center"/>
          </w:tcPr>
          <w:p w14:paraId="6D2F7B19">
            <w:pPr>
              <w:keepNext w:val="0"/>
              <w:keepLines w:val="0"/>
              <w:suppressLineNumbers w:val="0"/>
              <w:spacing w:before="0" w:beforeAutospacing="0" w:after="0" w:afterAutospacing="0" w:line="360" w:lineRule="auto"/>
              <w:ind w:left="0" w:right="0"/>
              <w:rPr>
                <w:rFonts w:hint="eastAsia" w:ascii="仿宋" w:hAnsi="仿宋" w:eastAsia="仿宋" w:cs="仿宋"/>
                <w:color w:val="auto"/>
                <w:szCs w:val="21"/>
                <w:highlight w:val="none"/>
              </w:rPr>
            </w:pPr>
          </w:p>
        </w:tc>
      </w:tr>
      <w:tr w14:paraId="174EA5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38" w:hRule="atLeast"/>
        </w:trPr>
        <w:tc>
          <w:tcPr>
            <w:tcW w:w="4181" w:type="dxa"/>
            <w:noWrap w:val="0"/>
            <w:vAlign w:val="center"/>
          </w:tcPr>
          <w:p w14:paraId="7E3D4B20">
            <w:pPr>
              <w:keepNext w:val="0"/>
              <w:keepLines w:val="0"/>
              <w:suppressLineNumbers w:val="0"/>
              <w:spacing w:before="0" w:beforeAutospacing="0" w:after="0" w:afterAutospacing="0" w:line="360" w:lineRule="auto"/>
              <w:ind w:left="0" w:right="0"/>
              <w:rPr>
                <w:rFonts w:hint="eastAsia" w:ascii="仿宋" w:hAnsi="仿宋" w:eastAsia="仿宋" w:cs="仿宋"/>
                <w:color w:val="auto"/>
                <w:szCs w:val="21"/>
                <w:highlight w:val="none"/>
              </w:rPr>
            </w:pPr>
            <w:r>
              <w:rPr>
                <w:rFonts w:hint="eastAsia" w:ascii="仿宋" w:hAnsi="仿宋" w:eastAsia="仿宋" w:cs="仿宋"/>
                <w:color w:val="auto"/>
                <w:szCs w:val="21"/>
                <w:highlight w:val="none"/>
              </w:rPr>
              <w:t>签订日期：       年     月    日</w:t>
            </w:r>
          </w:p>
        </w:tc>
        <w:tc>
          <w:tcPr>
            <w:tcW w:w="4263" w:type="dxa"/>
            <w:noWrap w:val="0"/>
            <w:vAlign w:val="center"/>
          </w:tcPr>
          <w:p w14:paraId="254747ED">
            <w:pPr>
              <w:keepNext w:val="0"/>
              <w:keepLines w:val="0"/>
              <w:suppressLineNumbers w:val="0"/>
              <w:spacing w:before="0" w:beforeAutospacing="0" w:after="0" w:afterAutospacing="0" w:line="360" w:lineRule="auto"/>
              <w:ind w:left="0" w:right="0"/>
              <w:rPr>
                <w:rFonts w:hint="eastAsia" w:ascii="仿宋" w:hAnsi="仿宋" w:eastAsia="仿宋" w:cs="仿宋"/>
                <w:color w:val="auto"/>
                <w:szCs w:val="21"/>
                <w:highlight w:val="none"/>
              </w:rPr>
            </w:pPr>
            <w:r>
              <w:rPr>
                <w:rFonts w:hint="eastAsia" w:ascii="仿宋" w:hAnsi="仿宋" w:eastAsia="仿宋" w:cs="仿宋"/>
                <w:color w:val="auto"/>
                <w:szCs w:val="21"/>
                <w:highlight w:val="none"/>
              </w:rPr>
              <w:t>签订日期：       年     月    日</w:t>
            </w:r>
          </w:p>
        </w:tc>
      </w:tr>
    </w:tbl>
    <w:p w14:paraId="43F8CE50">
      <w:pPr>
        <w:rPr>
          <w:rFonts w:hint="eastAsia" w:ascii="仿宋" w:hAnsi="仿宋" w:eastAsia="仿宋" w:cs="仿宋"/>
          <w:sz w:val="28"/>
          <w:szCs w:val="28"/>
        </w:rPr>
      </w:pPr>
    </w:p>
    <w:p w14:paraId="4BBA7A70">
      <w:pPr>
        <w:rPr>
          <w:rFonts w:hint="eastAsia" w:ascii="仿宋" w:hAnsi="仿宋" w:eastAsia="仿宋" w:cs="仿宋"/>
          <w:sz w:val="28"/>
          <w:szCs w:val="28"/>
        </w:rPr>
      </w:pPr>
      <w:r>
        <w:rPr>
          <w:rFonts w:hint="eastAsia" w:ascii="仿宋" w:hAnsi="仿宋" w:eastAsia="仿宋" w:cs="仿宋"/>
          <w:sz w:val="28"/>
          <w:szCs w:val="28"/>
        </w:rPr>
        <w:br w:type="page"/>
      </w:r>
    </w:p>
    <w:p w14:paraId="09B6B75E">
      <w:pPr>
        <w:pStyle w:val="2"/>
        <w:widowControl/>
        <w:spacing w:line="240" w:lineRule="auto"/>
        <w:jc w:val="center"/>
        <w:rPr>
          <w:rFonts w:hint="eastAsia" w:ascii="仿宋" w:hAnsi="仿宋" w:eastAsia="仿宋" w:cs="仿宋"/>
          <w:color w:val="auto"/>
          <w:highlight w:val="none"/>
        </w:rPr>
      </w:pPr>
      <w:bookmarkStart w:id="684" w:name="_Toc27579"/>
      <w:r>
        <w:rPr>
          <w:rFonts w:hint="eastAsia" w:ascii="仿宋" w:hAnsi="仿宋" w:eastAsia="仿宋" w:cs="仿宋"/>
          <w:color w:val="auto"/>
          <w:highlight w:val="none"/>
        </w:rPr>
        <w:t>第六章  响应文件格式</w:t>
      </w:r>
      <w:bookmarkEnd w:id="684"/>
    </w:p>
    <w:p w14:paraId="510C2FB5">
      <w:pPr>
        <w:widowControl/>
        <w:adjustRightInd w:val="0"/>
        <w:snapToGrid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注：供应商应按给定格式编制响应文件，相关格式可以扩展。磋商与评审办法、磋商文件澄清修改等磋商文件要求提供相关材料的，此处未给出格式、章节的，请供应商自定格式，编制在响应文件内。</w:t>
      </w:r>
    </w:p>
    <w:p w14:paraId="6E8BEEB4">
      <w:pPr>
        <w:rPr>
          <w:rFonts w:hint="eastAsia" w:ascii="仿宋" w:hAnsi="仿宋" w:eastAsia="仿宋" w:cs="仿宋"/>
          <w:sz w:val="24"/>
          <w:szCs w:val="24"/>
        </w:rPr>
      </w:pPr>
      <w:r>
        <w:rPr>
          <w:rFonts w:hint="eastAsia" w:ascii="仿宋" w:hAnsi="仿宋" w:eastAsia="仿宋" w:cs="仿宋"/>
          <w:b/>
          <w:color w:val="auto"/>
          <w:sz w:val="24"/>
          <w:szCs w:val="24"/>
          <w:highlight w:val="none"/>
        </w:rPr>
        <w:br w:type="page"/>
      </w:r>
    </w:p>
    <w:p w14:paraId="41F534EF">
      <w:pPr>
        <w:pStyle w:val="3"/>
        <w:jc w:val="center"/>
        <w:rPr>
          <w:rFonts w:hint="eastAsia" w:ascii="仿宋" w:hAnsi="仿宋" w:eastAsia="仿宋" w:cs="仿宋"/>
          <w:bCs/>
          <w:sz w:val="28"/>
          <w:szCs w:val="28"/>
        </w:rPr>
      </w:pPr>
      <w:r>
        <w:rPr>
          <w:rFonts w:hint="eastAsia" w:ascii="仿宋" w:hAnsi="仿宋" w:eastAsia="仿宋" w:cs="仿宋"/>
          <w:sz w:val="28"/>
          <w:szCs w:val="28"/>
        </w:rPr>
        <w:t>一、响应函</w:t>
      </w:r>
    </w:p>
    <w:p w14:paraId="57E8896A">
      <w:pPr>
        <w:pStyle w:val="12"/>
        <w:keepNext w:val="0"/>
        <w:keepLines w:val="0"/>
        <w:pageBreakBefore w:val="0"/>
        <w:kinsoku/>
        <w:wordWrap/>
        <w:overflowPunct/>
        <w:topLinePunct w:val="0"/>
        <w:autoSpaceDE/>
        <w:autoSpaceDN/>
        <w:bidi w:val="0"/>
        <w:adjustRightInd/>
        <w:snapToGrid/>
        <w:spacing w:line="400" w:lineRule="exact"/>
        <w:rPr>
          <w:rFonts w:hint="eastAsia" w:ascii="仿宋" w:hAnsi="仿宋" w:eastAsia="仿宋" w:cs="宋体"/>
          <w:b w:val="0"/>
          <w:bCs/>
          <w:color w:val="auto"/>
          <w:sz w:val="24"/>
          <w:szCs w:val="24"/>
        </w:rPr>
      </w:pPr>
      <w:r>
        <w:rPr>
          <w:rFonts w:hint="eastAsia" w:ascii="仿宋" w:hAnsi="仿宋" w:eastAsia="仿宋" w:cs="宋体"/>
          <w:b w:val="0"/>
          <w:bCs/>
          <w:color w:val="auto"/>
          <w:sz w:val="24"/>
          <w:szCs w:val="24"/>
        </w:rPr>
        <w:t>致：中国科学技术大学</w:t>
      </w:r>
    </w:p>
    <w:p w14:paraId="37FE755C">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仿宋" w:hAnsi="仿宋" w:eastAsia="仿宋" w:cs="宋体"/>
          <w:color w:val="auto"/>
          <w:sz w:val="24"/>
          <w:szCs w:val="24"/>
        </w:rPr>
      </w:pPr>
    </w:p>
    <w:p w14:paraId="21D6C196">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 我方已仔细研究了</w:t>
      </w:r>
      <w:r>
        <w:rPr>
          <w:rFonts w:hint="eastAsia" w:ascii="仿宋" w:hAnsi="仿宋" w:eastAsia="仿宋" w:cs="仿宋"/>
          <w:color w:val="000000"/>
          <w:kern w:val="0"/>
          <w:sz w:val="24"/>
          <w:szCs w:val="24"/>
          <w:u w:val="single"/>
          <w:lang w:eastAsia="zh-CN"/>
        </w:rPr>
        <w:t>中国科大本部校园导视标牌设计及安装项目</w:t>
      </w:r>
      <w:r>
        <w:rPr>
          <w:rFonts w:hint="eastAsia" w:ascii="仿宋" w:hAnsi="仿宋" w:eastAsia="仿宋" w:cs="仿宋"/>
          <w:color w:val="000000"/>
          <w:kern w:val="0"/>
          <w:sz w:val="24"/>
          <w:szCs w:val="24"/>
          <w:u w:val="single"/>
        </w:rPr>
        <w:t>（采购编号</w:t>
      </w:r>
      <w:r>
        <w:rPr>
          <w:rFonts w:hint="eastAsia" w:ascii="仿宋" w:hAnsi="仿宋" w:eastAsia="仿宋" w:cs="仿宋"/>
          <w:color w:val="000000"/>
          <w:kern w:val="0"/>
          <w:sz w:val="24"/>
          <w:szCs w:val="24"/>
          <w:u w:val="single"/>
          <w:lang w:val="en-US" w:eastAsia="zh-CN"/>
        </w:rPr>
        <w:t>CG20261013-3113</w:t>
      </w:r>
      <w:r>
        <w:rPr>
          <w:rFonts w:hint="eastAsia" w:ascii="仿宋" w:hAnsi="仿宋" w:eastAsia="仿宋" w:cs="仿宋"/>
          <w:color w:val="000000"/>
          <w:kern w:val="0"/>
          <w:sz w:val="24"/>
          <w:szCs w:val="24"/>
          <w:u w:val="single"/>
        </w:rPr>
        <w:t>）</w:t>
      </w:r>
      <w:r>
        <w:rPr>
          <w:rFonts w:hint="eastAsia" w:ascii="仿宋" w:hAnsi="仿宋" w:eastAsia="仿宋" w:cs="仿宋"/>
          <w:color w:val="000000"/>
          <w:kern w:val="0"/>
          <w:sz w:val="24"/>
          <w:szCs w:val="24"/>
        </w:rPr>
        <w:t>公告全部内容，接受你方在公告中对供应商的约束条件。我方愿意以我方提交的响应报价，按照合同的约定履行合同义务。</w:t>
      </w:r>
    </w:p>
    <w:p w14:paraId="370C08D9">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 我方承诺在公告规定的响应文件有效期内不修改、撤销响应文件，如果在磋商后规定的有效期内撤回报价，我方愿意赔偿由此给采购人造成的相关一切损失。</w:t>
      </w:r>
    </w:p>
    <w:p w14:paraId="77AC42EC">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 我方已详细审查全部磋商文件内容。我们完全理解并同意放弃对这方面有不明及误解的权力。</w:t>
      </w:r>
    </w:p>
    <w:p w14:paraId="38997C4B">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 我方完全理解贵方不一定接受最低报价的响应。</w:t>
      </w:r>
    </w:p>
    <w:p w14:paraId="605B3ADD">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 我方在此声明，所提交的响应文件及有关资料内容完整、真实和准确，企业运营正常（注册登记信息、年报信息可查），由于我方提供资料不实而造成的责任和后果由我方承担，我方同意按照贵方提出的要求，提供与报价有关的任何证据、数据或资料。</w:t>
      </w:r>
    </w:p>
    <w:p w14:paraId="1A84C541">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 如我方被确定为成交供应商：</w:t>
      </w:r>
    </w:p>
    <w:p w14:paraId="745D0F04">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（1）我方承诺在约定的期限内提供并交付货物及服务，履行公告规定的各项义务。</w:t>
      </w:r>
    </w:p>
    <w:p w14:paraId="43848A94">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（2）我方同意按照你方要求提供与我方参与比价有关的一切数据或资料。</w:t>
      </w:r>
    </w:p>
    <w:p w14:paraId="3C7070C0">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7</w:t>
      </w:r>
      <w:r>
        <w:rPr>
          <w:rFonts w:hint="eastAsia" w:ascii="仿宋" w:hAnsi="仿宋" w:eastAsia="仿宋" w:cs="仿宋"/>
          <w:color w:val="000000"/>
          <w:kern w:val="0"/>
          <w:sz w:val="24"/>
          <w:szCs w:val="24"/>
        </w:rPr>
        <w:t>. 我方对所提供资料、文件、证书及证件的真实性、合法性和有效性负责。</w:t>
      </w:r>
    </w:p>
    <w:p w14:paraId="7A90C649">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8</w:t>
      </w:r>
      <w:r>
        <w:rPr>
          <w:rFonts w:hint="eastAsia" w:ascii="仿宋" w:hAnsi="仿宋" w:eastAsia="仿宋" w:cs="仿宋"/>
          <w:color w:val="000000"/>
          <w:kern w:val="0"/>
          <w:sz w:val="24"/>
          <w:szCs w:val="24"/>
        </w:rPr>
        <w:t>. 其他补充说明：</w:t>
      </w:r>
    </w:p>
    <w:p w14:paraId="318F7E3F">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center"/>
        <w:rPr>
          <w:rFonts w:hint="eastAsia" w:ascii="仿宋" w:hAnsi="仿宋" w:eastAsia="仿宋" w:cs="仿宋"/>
          <w:color w:val="000000"/>
          <w:kern w:val="0"/>
          <w:sz w:val="24"/>
          <w:szCs w:val="24"/>
        </w:rPr>
      </w:pPr>
    </w:p>
    <w:p w14:paraId="51D0D6C9">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供应商：</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u w:val="single"/>
          <w:lang w:val="en-US" w:eastAsia="zh-CN"/>
        </w:rPr>
        <w:t xml:space="preserve">  </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rPr>
        <w:t>（盖单位章）</w:t>
      </w:r>
    </w:p>
    <w:p w14:paraId="078BD21C">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法定代表人（单位负责人）或其委托代理人：</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u w:val="single"/>
          <w:lang w:val="en-US" w:eastAsia="zh-CN"/>
        </w:rPr>
        <w:t xml:space="preserve">  </w:t>
      </w:r>
      <w:r>
        <w:rPr>
          <w:rFonts w:hint="eastAsia" w:ascii="仿宋" w:hAnsi="仿宋" w:eastAsia="仿宋" w:cs="仿宋"/>
          <w:color w:val="000000"/>
          <w:kern w:val="0"/>
          <w:sz w:val="24"/>
          <w:szCs w:val="24"/>
        </w:rPr>
        <w:t>（签字或盖章）</w:t>
      </w:r>
    </w:p>
    <w:p w14:paraId="706765CA">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center"/>
        <w:rPr>
          <w:rFonts w:hint="eastAsia" w:ascii="仿宋" w:hAnsi="仿宋" w:eastAsia="仿宋" w:cs="仿宋"/>
          <w:color w:val="000000"/>
          <w:kern w:val="0"/>
          <w:sz w:val="24"/>
          <w:szCs w:val="24"/>
          <w:u w:val="none"/>
        </w:rPr>
      </w:pPr>
      <w:r>
        <w:rPr>
          <w:rFonts w:hint="eastAsia" w:ascii="仿宋" w:hAnsi="仿宋" w:eastAsia="仿宋" w:cs="仿宋"/>
          <w:color w:val="000000"/>
          <w:kern w:val="0"/>
          <w:sz w:val="24"/>
          <w:szCs w:val="24"/>
        </w:rPr>
        <w:t>地址：</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u w:val="single"/>
          <w:lang w:val="en-US" w:eastAsia="zh-CN"/>
        </w:rPr>
        <w:t xml:space="preserve">      </w:t>
      </w:r>
    </w:p>
    <w:p w14:paraId="4A98DD28">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电话：</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u w:val="single"/>
          <w:lang w:val="en-US" w:eastAsia="zh-CN"/>
        </w:rPr>
        <w:t xml:space="preserve">      </w:t>
      </w:r>
    </w:p>
    <w:p w14:paraId="6730E144">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电子邮箱：</w:t>
      </w:r>
      <w:r>
        <w:rPr>
          <w:rFonts w:hint="eastAsia" w:ascii="仿宋" w:hAnsi="仿宋" w:eastAsia="仿宋" w:cs="仿宋"/>
          <w:color w:val="000000"/>
          <w:kern w:val="0"/>
          <w:sz w:val="24"/>
          <w:szCs w:val="24"/>
          <w:u w:val="single"/>
        </w:rPr>
        <w:t xml:space="preserve">        </w:t>
      </w:r>
      <w:r>
        <w:rPr>
          <w:rFonts w:hint="eastAsia" w:ascii="仿宋" w:hAnsi="仿宋" w:eastAsia="仿宋" w:cs="仿宋"/>
          <w:color w:val="000000"/>
          <w:kern w:val="0"/>
          <w:sz w:val="24"/>
          <w:szCs w:val="24"/>
          <w:u w:val="single"/>
          <w:lang w:val="en-US" w:eastAsia="zh-CN"/>
        </w:rPr>
        <w:t xml:space="preserve">  </w:t>
      </w:r>
    </w:p>
    <w:p w14:paraId="53015328">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center"/>
        <w:rPr>
          <w:rFonts w:hint="eastAsia" w:ascii="仿宋" w:hAnsi="仿宋" w:eastAsia="仿宋" w:cs="仿宋"/>
          <w:color w:val="000000"/>
          <w:kern w:val="0"/>
          <w:sz w:val="24"/>
          <w:szCs w:val="24"/>
        </w:rPr>
      </w:pPr>
    </w:p>
    <w:p w14:paraId="64A6CE6D">
      <w:pPr>
        <w:tabs>
          <w:tab w:val="left" w:pos="630"/>
        </w:tabs>
        <w:spacing w:line="360" w:lineRule="auto"/>
        <w:jc w:val="left"/>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 xml:space="preserve">年     月 </w:t>
      </w:r>
      <w:r>
        <w:rPr>
          <w:rFonts w:hint="eastAsia" w:ascii="仿宋" w:hAnsi="仿宋" w:eastAsia="仿宋" w:cs="仿宋"/>
          <w:color w:val="000000"/>
          <w:kern w:val="0"/>
          <w:sz w:val="24"/>
          <w:szCs w:val="24"/>
          <w:lang w:val="en-US" w:eastAsia="zh-CN"/>
        </w:rPr>
        <w:t xml:space="preserve">  </w:t>
      </w:r>
      <w:r>
        <w:rPr>
          <w:rFonts w:hint="eastAsia" w:ascii="仿宋" w:hAnsi="仿宋" w:eastAsia="仿宋" w:cs="仿宋"/>
          <w:color w:val="000000"/>
          <w:kern w:val="0"/>
          <w:sz w:val="24"/>
          <w:szCs w:val="24"/>
        </w:rPr>
        <w:t xml:space="preserve">  日</w:t>
      </w:r>
    </w:p>
    <w:p w14:paraId="3C80D4F2">
      <w:pPr>
        <w:pStyle w:val="3"/>
        <w:jc w:val="center"/>
        <w:rPr>
          <w:rFonts w:hint="eastAsia" w:ascii="仿宋" w:hAnsi="仿宋" w:eastAsia="仿宋" w:cs="仿宋"/>
          <w:sz w:val="28"/>
          <w:szCs w:val="28"/>
        </w:rPr>
      </w:pPr>
      <w:r>
        <w:rPr>
          <w:rFonts w:hint="eastAsia" w:ascii="仿宋" w:hAnsi="仿宋" w:eastAsia="仿宋" w:cs="仿宋"/>
          <w:sz w:val="28"/>
          <w:szCs w:val="28"/>
        </w:rPr>
        <w:t>二、报价函</w:t>
      </w:r>
    </w:p>
    <w:p w14:paraId="2DF1A056">
      <w:pPr>
        <w:keepNext w:val="0"/>
        <w:keepLines w:val="0"/>
        <w:pageBreakBefore w:val="0"/>
        <w:widowControl/>
        <w:kinsoku/>
        <w:wordWrap/>
        <w:overflowPunct/>
        <w:topLinePunct w:val="0"/>
        <w:autoSpaceDE/>
        <w:autoSpaceDN/>
        <w:bidi w:val="0"/>
        <w:adjustRightInd/>
        <w:snapToGrid/>
        <w:spacing w:line="560" w:lineRule="exact"/>
        <w:jc w:val="center"/>
        <w:textAlignment w:val="center"/>
        <w:rPr>
          <w:rStyle w:val="35"/>
          <w:rFonts w:hint="eastAsia" w:ascii="仿宋" w:hAnsi="仿宋" w:eastAsia="仿宋" w:cs="仿宋"/>
          <w:b w:val="0"/>
          <w:color w:val="000000"/>
          <w:sz w:val="24"/>
          <w:szCs w:val="24"/>
        </w:rPr>
      </w:pPr>
      <w:r>
        <w:rPr>
          <w:rStyle w:val="35"/>
          <w:rFonts w:hint="eastAsia" w:ascii="仿宋" w:hAnsi="仿宋" w:eastAsia="仿宋" w:cs="仿宋"/>
          <w:b w:val="0"/>
          <w:color w:val="000000"/>
          <w:sz w:val="24"/>
          <w:szCs w:val="24"/>
        </w:rPr>
        <w:t>报价一览表</w:t>
      </w:r>
    </w:p>
    <w:p w14:paraId="427AD12D">
      <w:pPr>
        <w:keepNext w:val="0"/>
        <w:keepLines w:val="0"/>
        <w:pageBreakBefore w:val="0"/>
        <w:kinsoku/>
        <w:wordWrap/>
        <w:overflowPunct/>
        <w:topLinePunct w:val="0"/>
        <w:autoSpaceDE/>
        <w:autoSpaceDN/>
        <w:bidi w:val="0"/>
        <w:adjustRightInd/>
        <w:snapToGrid/>
        <w:spacing w:line="560" w:lineRule="exact"/>
        <w:jc w:val="center"/>
        <w:rPr>
          <w:rFonts w:hint="eastAsia"/>
          <w:sz w:val="24"/>
          <w:szCs w:val="24"/>
        </w:rPr>
      </w:pPr>
      <w:r>
        <w:rPr>
          <w:rFonts w:hint="eastAsia" w:ascii="仿宋" w:hAnsi="仿宋" w:eastAsia="仿宋" w:cs="仿宋"/>
          <w:sz w:val="24"/>
          <w:szCs w:val="24"/>
        </w:rPr>
        <w:t>货币单位：人民币</w:t>
      </w:r>
    </w:p>
    <w:tbl>
      <w:tblPr>
        <w:tblStyle w:val="19"/>
        <w:tblW w:w="8235" w:type="dxa"/>
        <w:tblInd w:w="20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28"/>
        <w:gridCol w:w="2250"/>
        <w:gridCol w:w="5257"/>
      </w:tblGrid>
      <w:tr w14:paraId="7635B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2" w:hRule="atLeast"/>
        </w:trPr>
        <w:tc>
          <w:tcPr>
            <w:tcW w:w="728" w:type="dxa"/>
            <w:vAlign w:val="center"/>
          </w:tcPr>
          <w:p w14:paraId="1229301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right="0"/>
              <w:jc w:val="center"/>
              <w:rPr>
                <w:rFonts w:hint="eastAsia" w:ascii="仿宋" w:hAnsi="仿宋" w:eastAsia="仿宋" w:cs="仿宋"/>
                <w:sz w:val="24"/>
                <w:szCs w:val="24"/>
              </w:rPr>
            </w:pPr>
            <w:r>
              <w:rPr>
                <w:rFonts w:hint="eastAsia" w:ascii="仿宋" w:hAnsi="仿宋" w:eastAsia="仿宋" w:cs="仿宋"/>
                <w:sz w:val="24"/>
                <w:szCs w:val="24"/>
              </w:rPr>
              <w:t>序号</w:t>
            </w:r>
          </w:p>
        </w:tc>
        <w:tc>
          <w:tcPr>
            <w:tcW w:w="2250" w:type="dxa"/>
            <w:vAlign w:val="center"/>
          </w:tcPr>
          <w:p w14:paraId="1635ADB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right="0"/>
              <w:jc w:val="center"/>
              <w:rPr>
                <w:rFonts w:hint="eastAsia" w:ascii="仿宋" w:hAnsi="仿宋" w:eastAsia="仿宋" w:cs="仿宋"/>
                <w:sz w:val="24"/>
                <w:szCs w:val="24"/>
              </w:rPr>
            </w:pPr>
            <w:r>
              <w:rPr>
                <w:rFonts w:hint="eastAsia" w:ascii="仿宋" w:hAnsi="仿宋" w:eastAsia="仿宋" w:cs="仿宋"/>
                <w:sz w:val="24"/>
                <w:szCs w:val="24"/>
              </w:rPr>
              <w:t>项目</w:t>
            </w:r>
          </w:p>
        </w:tc>
        <w:tc>
          <w:tcPr>
            <w:tcW w:w="5257" w:type="dxa"/>
            <w:vAlign w:val="center"/>
          </w:tcPr>
          <w:p w14:paraId="67787E3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right="0"/>
              <w:jc w:val="center"/>
              <w:rPr>
                <w:rFonts w:hint="eastAsia" w:ascii="仿宋" w:hAnsi="仿宋" w:eastAsia="仿宋" w:cs="仿宋"/>
                <w:sz w:val="24"/>
                <w:szCs w:val="24"/>
              </w:rPr>
            </w:pPr>
            <w:r>
              <w:rPr>
                <w:rFonts w:hint="eastAsia" w:ascii="仿宋" w:hAnsi="仿宋" w:eastAsia="仿宋" w:cs="仿宋"/>
                <w:sz w:val="24"/>
                <w:szCs w:val="24"/>
              </w:rPr>
              <w:t>内容</w:t>
            </w:r>
          </w:p>
        </w:tc>
      </w:tr>
      <w:tr w14:paraId="1D751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trPr>
        <w:tc>
          <w:tcPr>
            <w:tcW w:w="728" w:type="dxa"/>
            <w:vAlign w:val="center"/>
          </w:tcPr>
          <w:p w14:paraId="49F0738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right="0"/>
              <w:jc w:val="center"/>
              <w:rPr>
                <w:rFonts w:hint="eastAsia" w:ascii="仿宋" w:hAnsi="仿宋" w:eastAsia="仿宋" w:cs="仿宋"/>
                <w:sz w:val="24"/>
                <w:szCs w:val="24"/>
              </w:rPr>
            </w:pPr>
            <w:r>
              <w:rPr>
                <w:rFonts w:hint="eastAsia" w:ascii="仿宋" w:hAnsi="仿宋" w:eastAsia="仿宋" w:cs="仿宋"/>
                <w:sz w:val="24"/>
                <w:szCs w:val="24"/>
              </w:rPr>
              <w:t>1</w:t>
            </w:r>
          </w:p>
        </w:tc>
        <w:tc>
          <w:tcPr>
            <w:tcW w:w="2250" w:type="dxa"/>
            <w:vAlign w:val="center"/>
          </w:tcPr>
          <w:p w14:paraId="514F1D0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right="0"/>
              <w:jc w:val="center"/>
              <w:rPr>
                <w:rFonts w:hint="eastAsia" w:ascii="仿宋" w:hAnsi="仿宋" w:eastAsia="仿宋" w:cs="仿宋"/>
                <w:sz w:val="24"/>
                <w:szCs w:val="24"/>
              </w:rPr>
            </w:pPr>
            <w:r>
              <w:rPr>
                <w:rFonts w:hint="eastAsia" w:ascii="仿宋" w:hAnsi="仿宋" w:eastAsia="仿宋" w:cs="仿宋"/>
                <w:sz w:val="24"/>
                <w:szCs w:val="24"/>
              </w:rPr>
              <w:t>项目名称</w:t>
            </w:r>
          </w:p>
        </w:tc>
        <w:tc>
          <w:tcPr>
            <w:tcW w:w="5257" w:type="dxa"/>
            <w:vAlign w:val="center"/>
          </w:tcPr>
          <w:p w14:paraId="1E18ADA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right="0"/>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中国科大本部校园导视标牌设计及安装项目</w:t>
            </w:r>
          </w:p>
        </w:tc>
      </w:tr>
      <w:tr w14:paraId="0C30B5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80" w:hRule="atLeast"/>
        </w:trPr>
        <w:tc>
          <w:tcPr>
            <w:tcW w:w="728" w:type="dxa"/>
            <w:vAlign w:val="center"/>
          </w:tcPr>
          <w:p w14:paraId="5AEB818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right="0"/>
              <w:jc w:val="center"/>
              <w:rPr>
                <w:rFonts w:hint="eastAsia" w:ascii="仿宋" w:hAnsi="仿宋" w:eastAsia="仿宋" w:cs="仿宋"/>
                <w:sz w:val="24"/>
                <w:szCs w:val="24"/>
              </w:rPr>
            </w:pPr>
            <w:r>
              <w:rPr>
                <w:rFonts w:hint="eastAsia" w:ascii="仿宋" w:hAnsi="仿宋" w:eastAsia="仿宋" w:cs="仿宋"/>
                <w:sz w:val="24"/>
                <w:szCs w:val="24"/>
              </w:rPr>
              <w:t>2</w:t>
            </w:r>
          </w:p>
        </w:tc>
        <w:tc>
          <w:tcPr>
            <w:tcW w:w="2250" w:type="dxa"/>
            <w:vAlign w:val="center"/>
          </w:tcPr>
          <w:p w14:paraId="56F2498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right="0"/>
              <w:jc w:val="center"/>
              <w:rPr>
                <w:rFonts w:hint="eastAsia" w:ascii="仿宋" w:hAnsi="仿宋" w:eastAsia="仿宋" w:cs="仿宋"/>
                <w:sz w:val="24"/>
                <w:szCs w:val="24"/>
              </w:rPr>
            </w:pPr>
            <w:r>
              <w:rPr>
                <w:rFonts w:hint="eastAsia" w:ascii="仿宋" w:hAnsi="仿宋" w:eastAsia="仿宋" w:cs="仿宋"/>
                <w:sz w:val="24"/>
                <w:szCs w:val="24"/>
              </w:rPr>
              <w:t>响应报价</w:t>
            </w:r>
          </w:p>
        </w:tc>
        <w:tc>
          <w:tcPr>
            <w:tcW w:w="5257" w:type="dxa"/>
            <w:vAlign w:val="center"/>
          </w:tcPr>
          <w:p w14:paraId="263162A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right="0"/>
              <w:jc w:val="both"/>
              <w:rPr>
                <w:rFonts w:hint="eastAsia" w:ascii="仿宋" w:hAnsi="仿宋" w:eastAsia="仿宋" w:cs="仿宋"/>
                <w:sz w:val="24"/>
                <w:szCs w:val="24"/>
              </w:rPr>
            </w:pPr>
            <w:r>
              <w:rPr>
                <w:rFonts w:hint="eastAsia" w:ascii="仿宋" w:hAnsi="仿宋" w:eastAsia="仿宋" w:cs="仿宋"/>
                <w:sz w:val="24"/>
                <w:szCs w:val="24"/>
              </w:rPr>
              <w:t>小写</w:t>
            </w:r>
            <w:r>
              <w:rPr>
                <w:rFonts w:hint="eastAsia" w:ascii="仿宋" w:hAnsi="仿宋" w:eastAsia="仿宋" w:cs="仿宋"/>
                <w:spacing w:val="1"/>
                <w:sz w:val="24"/>
                <w:szCs w:val="24"/>
              </w:rPr>
              <w:t>：</w:t>
            </w:r>
            <w:r>
              <w:rPr>
                <w:rFonts w:hint="eastAsia" w:ascii="仿宋" w:hAnsi="仿宋" w:eastAsia="仿宋" w:cs="仿宋"/>
                <w:spacing w:val="42"/>
                <w:sz w:val="24"/>
                <w:szCs w:val="24"/>
                <w:u w:val="single"/>
              </w:rPr>
              <w:t xml:space="preserve">         </w:t>
            </w:r>
            <w:r>
              <w:rPr>
                <w:rFonts w:hint="eastAsia" w:ascii="仿宋" w:hAnsi="仿宋" w:eastAsia="仿宋" w:cs="仿宋"/>
                <w:sz w:val="24"/>
                <w:szCs w:val="24"/>
              </w:rPr>
              <w:t>元</w:t>
            </w:r>
          </w:p>
          <w:p w14:paraId="4A9C91F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right="0"/>
              <w:jc w:val="both"/>
              <w:rPr>
                <w:rFonts w:hint="eastAsia" w:ascii="仿宋" w:hAnsi="仿宋" w:eastAsia="仿宋" w:cs="仿宋"/>
                <w:sz w:val="24"/>
                <w:szCs w:val="24"/>
              </w:rPr>
            </w:pPr>
            <w:r>
              <w:rPr>
                <w:rFonts w:hint="eastAsia" w:ascii="仿宋" w:hAnsi="仿宋" w:eastAsia="仿宋" w:cs="仿宋"/>
                <w:sz w:val="24"/>
                <w:szCs w:val="24"/>
              </w:rPr>
              <w:t>大写</w:t>
            </w:r>
            <w:r>
              <w:rPr>
                <w:rFonts w:hint="eastAsia" w:ascii="仿宋" w:hAnsi="仿宋" w:eastAsia="仿宋" w:cs="仿宋"/>
                <w:spacing w:val="1"/>
                <w:sz w:val="24"/>
                <w:szCs w:val="24"/>
              </w:rPr>
              <w:t>：</w:t>
            </w:r>
            <w:r>
              <w:rPr>
                <w:rFonts w:hint="eastAsia" w:ascii="仿宋" w:hAnsi="仿宋" w:eastAsia="仿宋" w:cs="仿宋"/>
                <w:spacing w:val="42"/>
                <w:sz w:val="24"/>
                <w:szCs w:val="24"/>
                <w:u w:val="single"/>
              </w:rPr>
              <w:t xml:space="preserve">         </w:t>
            </w:r>
            <w:r>
              <w:rPr>
                <w:rFonts w:hint="eastAsia" w:ascii="仿宋" w:hAnsi="仿宋" w:eastAsia="仿宋" w:cs="仿宋"/>
                <w:sz w:val="24"/>
                <w:szCs w:val="24"/>
              </w:rPr>
              <w:t>元</w:t>
            </w:r>
          </w:p>
        </w:tc>
      </w:tr>
      <w:tr w14:paraId="5EC56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3" w:hRule="atLeast"/>
        </w:trPr>
        <w:tc>
          <w:tcPr>
            <w:tcW w:w="728" w:type="dxa"/>
            <w:vAlign w:val="center"/>
          </w:tcPr>
          <w:p w14:paraId="09506F3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right="0"/>
              <w:jc w:val="center"/>
              <w:rPr>
                <w:rFonts w:hint="eastAsia" w:ascii="仿宋" w:hAnsi="仿宋" w:eastAsia="仿宋" w:cs="仿宋"/>
                <w:sz w:val="24"/>
                <w:szCs w:val="24"/>
              </w:rPr>
            </w:pPr>
            <w:r>
              <w:rPr>
                <w:rFonts w:hint="eastAsia" w:ascii="仿宋" w:hAnsi="仿宋" w:eastAsia="仿宋" w:cs="仿宋"/>
                <w:sz w:val="24"/>
                <w:szCs w:val="24"/>
              </w:rPr>
              <w:t>3</w:t>
            </w:r>
          </w:p>
        </w:tc>
        <w:tc>
          <w:tcPr>
            <w:tcW w:w="2250" w:type="dxa"/>
            <w:vAlign w:val="center"/>
          </w:tcPr>
          <w:p w14:paraId="586FF23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right="0"/>
              <w:jc w:val="center"/>
              <w:rPr>
                <w:rFonts w:hint="eastAsia" w:ascii="仿宋" w:hAnsi="仿宋" w:eastAsia="仿宋" w:cs="仿宋"/>
                <w:sz w:val="24"/>
                <w:szCs w:val="24"/>
              </w:rPr>
            </w:pPr>
            <w:r>
              <w:rPr>
                <w:rFonts w:hint="eastAsia" w:ascii="仿宋" w:hAnsi="仿宋" w:eastAsia="仿宋" w:cs="仿宋"/>
                <w:sz w:val="24"/>
                <w:szCs w:val="24"/>
              </w:rPr>
              <w:t>供货期限</w:t>
            </w:r>
          </w:p>
        </w:tc>
        <w:tc>
          <w:tcPr>
            <w:tcW w:w="5257" w:type="dxa"/>
            <w:vAlign w:val="center"/>
          </w:tcPr>
          <w:p w14:paraId="7E6C387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right="0"/>
              <w:jc w:val="both"/>
              <w:rPr>
                <w:rFonts w:hint="eastAsia" w:ascii="仿宋" w:hAnsi="仿宋" w:eastAsia="仿宋" w:cs="仿宋"/>
                <w:sz w:val="24"/>
                <w:szCs w:val="24"/>
              </w:rPr>
            </w:pPr>
            <w:r>
              <w:rPr>
                <w:rFonts w:hint="eastAsia" w:ascii="仿宋" w:hAnsi="仿宋" w:eastAsia="仿宋" w:cs="仿宋"/>
                <w:sz w:val="24"/>
                <w:szCs w:val="24"/>
              </w:rPr>
              <w:t>接到采购人通知后</w:t>
            </w:r>
            <w:r>
              <w:rPr>
                <w:rFonts w:hint="eastAsia" w:ascii="仿宋" w:hAnsi="仿宋" w:eastAsia="仿宋" w:cs="仿宋"/>
                <w:sz w:val="24"/>
                <w:szCs w:val="24"/>
                <w:lang w:val="en-US" w:eastAsia="zh-CN"/>
              </w:rPr>
              <w:t>60日历日内</w:t>
            </w:r>
            <w:r>
              <w:rPr>
                <w:rFonts w:hint="eastAsia" w:ascii="仿宋" w:hAnsi="仿宋" w:eastAsia="仿宋" w:cs="仿宋"/>
                <w:sz w:val="24"/>
                <w:szCs w:val="24"/>
              </w:rPr>
              <w:t>完成全部</w:t>
            </w:r>
            <w:r>
              <w:rPr>
                <w:rFonts w:hint="eastAsia" w:ascii="仿宋" w:hAnsi="仿宋" w:eastAsia="仿宋" w:cs="仿宋"/>
                <w:sz w:val="24"/>
                <w:szCs w:val="24"/>
                <w:lang w:val="en-US" w:eastAsia="zh-CN"/>
              </w:rPr>
              <w:t>标牌方案深化设计、旧标牌拆除、成品标牌制作、现场安装（含高空作业）、辅材配套、垃圾清运、调试、成品保护等全部工作。</w:t>
            </w:r>
          </w:p>
        </w:tc>
      </w:tr>
      <w:tr w14:paraId="68A0E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0" w:hRule="atLeast"/>
        </w:trPr>
        <w:tc>
          <w:tcPr>
            <w:tcW w:w="728" w:type="dxa"/>
            <w:vAlign w:val="center"/>
          </w:tcPr>
          <w:p w14:paraId="54E3500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right="0"/>
              <w:jc w:val="center"/>
              <w:rPr>
                <w:rFonts w:hint="eastAsia" w:ascii="仿宋" w:hAnsi="仿宋" w:eastAsia="仿宋" w:cs="仿宋"/>
                <w:sz w:val="24"/>
                <w:szCs w:val="24"/>
              </w:rPr>
            </w:pPr>
            <w:r>
              <w:rPr>
                <w:rFonts w:hint="eastAsia" w:ascii="仿宋" w:hAnsi="仿宋" w:eastAsia="仿宋" w:cs="仿宋"/>
                <w:sz w:val="24"/>
                <w:szCs w:val="24"/>
              </w:rPr>
              <w:t>4</w:t>
            </w:r>
          </w:p>
        </w:tc>
        <w:tc>
          <w:tcPr>
            <w:tcW w:w="2250" w:type="dxa"/>
            <w:vAlign w:val="center"/>
          </w:tcPr>
          <w:p w14:paraId="2319698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right="0"/>
              <w:jc w:val="center"/>
              <w:rPr>
                <w:rFonts w:hint="eastAsia" w:ascii="仿宋" w:hAnsi="仿宋" w:eastAsia="仿宋" w:cs="仿宋"/>
                <w:sz w:val="24"/>
                <w:szCs w:val="24"/>
              </w:rPr>
            </w:pPr>
            <w:r>
              <w:rPr>
                <w:rFonts w:hint="eastAsia" w:ascii="仿宋" w:hAnsi="仿宋" w:eastAsia="仿宋" w:cs="仿宋"/>
                <w:sz w:val="24"/>
                <w:szCs w:val="24"/>
              </w:rPr>
              <w:t>付款方式</w:t>
            </w:r>
          </w:p>
        </w:tc>
        <w:tc>
          <w:tcPr>
            <w:tcW w:w="5257" w:type="dxa"/>
            <w:vAlign w:val="center"/>
          </w:tcPr>
          <w:p w14:paraId="6C46266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right="0"/>
              <w:jc w:val="both"/>
              <w:rPr>
                <w:rFonts w:hint="eastAsia" w:ascii="仿宋" w:hAnsi="仿宋" w:eastAsia="仿宋" w:cs="仿宋"/>
                <w:sz w:val="24"/>
                <w:szCs w:val="24"/>
              </w:rPr>
            </w:pPr>
            <w:r>
              <w:rPr>
                <w:rFonts w:hint="eastAsia" w:ascii="仿宋" w:hAnsi="仿宋" w:eastAsia="仿宋" w:cs="仿宋"/>
                <w:sz w:val="24"/>
                <w:szCs w:val="24"/>
              </w:rPr>
              <w:t>完全响应采购公告要求</w:t>
            </w:r>
          </w:p>
        </w:tc>
      </w:tr>
      <w:tr w14:paraId="261C8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8" w:hRule="atLeast"/>
        </w:trPr>
        <w:tc>
          <w:tcPr>
            <w:tcW w:w="728" w:type="dxa"/>
            <w:vAlign w:val="center"/>
          </w:tcPr>
          <w:p w14:paraId="7C2C8AE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right="0"/>
              <w:jc w:val="center"/>
              <w:rPr>
                <w:rFonts w:hint="eastAsia" w:ascii="仿宋" w:hAnsi="仿宋" w:eastAsia="仿宋" w:cs="仿宋"/>
                <w:sz w:val="24"/>
                <w:szCs w:val="24"/>
              </w:rPr>
            </w:pPr>
            <w:r>
              <w:rPr>
                <w:rFonts w:hint="eastAsia" w:ascii="仿宋" w:hAnsi="仿宋" w:eastAsia="仿宋" w:cs="仿宋"/>
                <w:sz w:val="24"/>
                <w:szCs w:val="24"/>
              </w:rPr>
              <w:t>5</w:t>
            </w:r>
          </w:p>
        </w:tc>
        <w:tc>
          <w:tcPr>
            <w:tcW w:w="2250" w:type="dxa"/>
            <w:vAlign w:val="center"/>
          </w:tcPr>
          <w:p w14:paraId="3240821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right="0"/>
              <w:jc w:val="center"/>
              <w:rPr>
                <w:rFonts w:hint="eastAsia" w:ascii="仿宋" w:hAnsi="仿宋" w:eastAsia="仿宋" w:cs="仿宋"/>
                <w:sz w:val="24"/>
                <w:szCs w:val="24"/>
              </w:rPr>
            </w:pPr>
            <w:r>
              <w:rPr>
                <w:rFonts w:hint="eastAsia" w:ascii="仿宋" w:hAnsi="仿宋" w:eastAsia="仿宋" w:cs="仿宋"/>
                <w:sz w:val="24"/>
                <w:szCs w:val="24"/>
              </w:rPr>
              <w:t>备注</w:t>
            </w:r>
          </w:p>
        </w:tc>
        <w:tc>
          <w:tcPr>
            <w:tcW w:w="5257" w:type="dxa"/>
            <w:vAlign w:val="center"/>
          </w:tcPr>
          <w:p w14:paraId="5ED4C86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right="0"/>
              <w:jc w:val="both"/>
              <w:rPr>
                <w:rFonts w:hint="eastAsia" w:ascii="仿宋" w:hAnsi="仿宋" w:eastAsia="仿宋" w:cs="仿宋"/>
                <w:sz w:val="24"/>
                <w:szCs w:val="24"/>
              </w:rPr>
            </w:pPr>
            <w:r>
              <w:rPr>
                <w:rFonts w:hint="eastAsia" w:ascii="仿宋" w:hAnsi="仿宋" w:eastAsia="仿宋" w:cs="仿宋"/>
                <w:sz w:val="24"/>
                <w:szCs w:val="24"/>
              </w:rPr>
              <w:t>注：</w:t>
            </w:r>
          </w:p>
          <w:p w14:paraId="2D6E7E9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right="0"/>
              <w:jc w:val="both"/>
              <w:rPr>
                <w:rFonts w:hint="eastAsia" w:ascii="仿宋" w:hAnsi="仿宋" w:eastAsia="仿宋" w:cs="仿宋"/>
                <w:sz w:val="24"/>
                <w:szCs w:val="24"/>
                <w:lang w:val="en-US"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.供货方案附后，包含样品实物、材质规格、安装方式等。</w:t>
            </w:r>
          </w:p>
          <w:p w14:paraId="59C6486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right="0"/>
              <w:jc w:val="both"/>
              <w:rPr>
                <w:rFonts w:hint="eastAsia" w:ascii="仿宋" w:hAnsi="仿宋" w:eastAsia="仿宋" w:cs="仿宋"/>
                <w:sz w:val="24"/>
                <w:szCs w:val="24"/>
              </w:rPr>
            </w:pPr>
            <w:r>
              <w:rPr>
                <w:rFonts w:hint="eastAsia" w:ascii="仿宋" w:hAnsi="仿宋" w:eastAsia="仿宋" w:cs="仿宋"/>
                <w:sz w:val="24"/>
                <w:szCs w:val="24"/>
                <w:lang w:val="en-US" w:eastAsia="zh-CN"/>
              </w:rPr>
              <w:t>2.此报价包含所列标识牌</w:t>
            </w:r>
            <w:r>
              <w:rPr>
                <w:rFonts w:hint="eastAsia" w:ascii="仿宋" w:hAnsi="仿宋" w:eastAsia="仿宋" w:cs="仿宋"/>
                <w:sz w:val="24"/>
                <w:szCs w:val="24"/>
              </w:rPr>
              <w:t>的全部</w:t>
            </w:r>
            <w:r>
              <w:rPr>
                <w:rFonts w:hint="eastAsia" w:ascii="仿宋" w:hAnsi="仿宋" w:eastAsia="仿宋" w:cs="仿宋"/>
                <w:sz w:val="24"/>
                <w:szCs w:val="24"/>
                <w:lang w:val="en-US" w:eastAsia="zh-CN"/>
              </w:rPr>
              <w:t>方案深化设计、旧标牌拆除、成品标牌制作、现场安装（含高空作业）、辅材配套、垃圾清运、成品保护、验收、质保、</w:t>
            </w:r>
            <w:r>
              <w:rPr>
                <w:rFonts w:hint="eastAsia" w:ascii="仿宋" w:hAnsi="仿宋" w:eastAsia="仿宋" w:cs="仿宋"/>
                <w:sz w:val="24"/>
                <w:szCs w:val="24"/>
              </w:rPr>
              <w:t>人员工资、保险、税等一切相关费用。</w:t>
            </w:r>
          </w:p>
          <w:p w14:paraId="6545321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560" w:lineRule="exact"/>
              <w:ind w:left="0" w:right="0"/>
              <w:jc w:val="both"/>
              <w:rPr>
                <w:rFonts w:hint="eastAsia" w:ascii="仿宋" w:hAnsi="仿宋" w:eastAsia="仿宋" w:cs="仿宋"/>
                <w:sz w:val="24"/>
                <w:szCs w:val="24"/>
              </w:rPr>
            </w:pPr>
            <w:r>
              <w:rPr>
                <w:rFonts w:hint="eastAsia" w:ascii="仿宋" w:hAnsi="仿宋" w:eastAsia="仿宋" w:cs="仿宋"/>
                <w:sz w:val="24"/>
                <w:szCs w:val="24"/>
              </w:rPr>
              <w:t>3.其他特殊事项另外附页注明。</w:t>
            </w:r>
          </w:p>
        </w:tc>
      </w:tr>
    </w:tbl>
    <w:p w14:paraId="11B870D7">
      <w:pPr>
        <w:keepNext w:val="0"/>
        <w:keepLines w:val="0"/>
        <w:pageBreakBefore w:val="0"/>
        <w:widowControl/>
        <w:kinsoku/>
        <w:wordWrap/>
        <w:overflowPunct/>
        <w:topLinePunct w:val="0"/>
        <w:autoSpaceDE/>
        <w:autoSpaceDN/>
        <w:bidi w:val="0"/>
        <w:adjustRightInd/>
        <w:snapToGrid/>
        <w:spacing w:line="560" w:lineRule="exact"/>
        <w:jc w:val="left"/>
        <w:textAlignment w:val="center"/>
        <w:rPr>
          <w:rStyle w:val="35"/>
          <w:rFonts w:hint="eastAsia" w:ascii="仿宋" w:hAnsi="仿宋" w:eastAsia="仿宋" w:cs="仿宋"/>
          <w:b w:val="0"/>
          <w:color w:val="000000"/>
          <w:sz w:val="24"/>
          <w:szCs w:val="24"/>
        </w:rPr>
      </w:pPr>
    </w:p>
    <w:p w14:paraId="0993AAD0">
      <w:pPr>
        <w:keepNext w:val="0"/>
        <w:keepLines w:val="0"/>
        <w:pageBreakBefore w:val="0"/>
        <w:widowControl/>
        <w:kinsoku/>
        <w:wordWrap/>
        <w:overflowPunct/>
        <w:topLinePunct w:val="0"/>
        <w:autoSpaceDE/>
        <w:autoSpaceDN/>
        <w:bidi w:val="0"/>
        <w:adjustRightInd/>
        <w:snapToGrid/>
        <w:spacing w:line="560" w:lineRule="exact"/>
        <w:jc w:val="left"/>
        <w:textAlignment w:val="center"/>
        <w:rPr>
          <w:rStyle w:val="35"/>
          <w:rFonts w:hint="eastAsia" w:ascii="仿宋" w:hAnsi="仿宋" w:eastAsia="仿宋" w:cs="仿宋"/>
          <w:b w:val="0"/>
          <w:color w:val="000000"/>
          <w:sz w:val="24"/>
          <w:szCs w:val="24"/>
        </w:rPr>
      </w:pPr>
      <w:r>
        <w:rPr>
          <w:rStyle w:val="35"/>
          <w:rFonts w:hint="eastAsia" w:ascii="仿宋" w:hAnsi="仿宋" w:eastAsia="仿宋" w:cs="仿宋"/>
          <w:b w:val="0"/>
          <w:color w:val="000000"/>
          <w:sz w:val="24"/>
          <w:szCs w:val="24"/>
        </w:rPr>
        <w:t>供应商：                       （单位盖章）</w:t>
      </w:r>
    </w:p>
    <w:p w14:paraId="03273AB3">
      <w:pPr>
        <w:keepNext w:val="0"/>
        <w:keepLines w:val="0"/>
        <w:pageBreakBefore w:val="0"/>
        <w:widowControl/>
        <w:kinsoku/>
        <w:wordWrap/>
        <w:overflowPunct/>
        <w:topLinePunct w:val="0"/>
        <w:autoSpaceDE/>
        <w:autoSpaceDN/>
        <w:bidi w:val="0"/>
        <w:adjustRightInd/>
        <w:snapToGrid/>
        <w:spacing w:line="560" w:lineRule="exact"/>
        <w:jc w:val="left"/>
        <w:textAlignment w:val="center"/>
        <w:rPr>
          <w:rStyle w:val="35"/>
          <w:rFonts w:hint="eastAsia" w:ascii="仿宋" w:hAnsi="仿宋" w:eastAsia="仿宋" w:cs="仿宋"/>
          <w:b w:val="0"/>
          <w:color w:val="000000"/>
          <w:sz w:val="24"/>
          <w:szCs w:val="24"/>
        </w:rPr>
      </w:pPr>
      <w:r>
        <w:rPr>
          <w:rStyle w:val="35"/>
          <w:rFonts w:hint="eastAsia" w:ascii="仿宋" w:hAnsi="仿宋" w:eastAsia="仿宋" w:cs="仿宋"/>
          <w:b w:val="0"/>
          <w:color w:val="000000"/>
          <w:sz w:val="24"/>
          <w:szCs w:val="24"/>
        </w:rPr>
        <w:t>法定代表人（单位负责人）或其委托代理人：         （签字或盖章）</w:t>
      </w:r>
    </w:p>
    <w:p w14:paraId="1C4D54C1">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eastAsia" w:ascii="仿宋" w:hAnsi="仿宋" w:eastAsia="仿宋" w:cs="仿宋"/>
          <w:color w:val="000000"/>
          <w:kern w:val="0"/>
          <w:sz w:val="24"/>
          <w:szCs w:val="24"/>
        </w:rPr>
      </w:pPr>
      <w:r>
        <w:rPr>
          <w:rStyle w:val="35"/>
          <w:rFonts w:hint="eastAsia" w:ascii="仿宋" w:hAnsi="仿宋" w:eastAsia="仿宋" w:cs="仿宋"/>
          <w:b w:val="0"/>
          <w:color w:val="000000"/>
          <w:sz w:val="24"/>
          <w:szCs w:val="24"/>
        </w:rPr>
        <w:t>年   月   日</w:t>
      </w:r>
    </w:p>
    <w:p w14:paraId="2274BC39">
      <w:pPr>
        <w:pStyle w:val="3"/>
        <w:jc w:val="center"/>
        <w:rPr>
          <w:rFonts w:hint="eastAsia" w:ascii="仿宋" w:hAnsi="仿宋" w:eastAsia="仿宋" w:cs="仿宋"/>
          <w:sz w:val="28"/>
          <w:szCs w:val="28"/>
          <w:lang w:eastAsia="zh-CN"/>
        </w:rPr>
      </w:pPr>
      <w:r>
        <w:rPr>
          <w:rFonts w:hint="eastAsia" w:ascii="仿宋" w:hAnsi="仿宋" w:eastAsia="仿宋" w:cs="仿宋"/>
          <w:sz w:val="24"/>
          <w:szCs w:val="24"/>
          <w:lang w:val="en-US" w:eastAsia="zh-CN"/>
        </w:rPr>
        <w:br w:type="page"/>
      </w:r>
      <w:r>
        <w:rPr>
          <w:rFonts w:hint="eastAsia" w:ascii="仿宋" w:hAnsi="仿宋" w:eastAsia="仿宋" w:cs="仿宋"/>
          <w:sz w:val="28"/>
          <w:szCs w:val="28"/>
          <w:lang w:val="en-US" w:eastAsia="zh-CN"/>
        </w:rPr>
        <w:t>三</w:t>
      </w:r>
      <w:r>
        <w:rPr>
          <w:rFonts w:hint="eastAsia" w:ascii="仿宋" w:hAnsi="仿宋" w:eastAsia="仿宋" w:cs="仿宋"/>
          <w:sz w:val="28"/>
          <w:szCs w:val="28"/>
        </w:rPr>
        <w:t>、</w:t>
      </w:r>
      <w:r>
        <w:rPr>
          <w:rFonts w:hint="eastAsia" w:ascii="仿宋" w:hAnsi="仿宋" w:eastAsia="仿宋" w:cs="仿宋"/>
          <w:sz w:val="28"/>
          <w:szCs w:val="28"/>
          <w:lang w:val="en-US" w:eastAsia="zh-CN"/>
        </w:rPr>
        <w:t>分项报价表</w:t>
      </w:r>
    </w:p>
    <w:p w14:paraId="4D679587">
      <w:pPr>
        <w:spacing w:line="360" w:lineRule="auto"/>
        <w:jc w:val="center"/>
        <w:rPr>
          <w:rFonts w:hint="eastAsia" w:ascii="仿宋" w:hAnsi="仿宋" w:eastAsia="仿宋" w:cs="宋体"/>
          <w:color w:val="000000"/>
          <w:sz w:val="24"/>
          <w:lang w:val="en-US" w:eastAsia="zh-CN"/>
        </w:rPr>
      </w:pPr>
      <w:r>
        <w:rPr>
          <w:rFonts w:hint="eastAsia" w:ascii="仿宋" w:hAnsi="仿宋" w:eastAsia="仿宋" w:cs="宋体"/>
          <w:color w:val="000000"/>
          <w:sz w:val="24"/>
          <w:lang w:val="en-US" w:eastAsia="zh-CN"/>
        </w:rPr>
        <w:t>单位：人民币元</w:t>
      </w:r>
    </w:p>
    <w:p w14:paraId="4FE0282D">
      <w:pPr>
        <w:spacing w:line="360" w:lineRule="auto"/>
        <w:jc w:val="center"/>
        <w:rPr>
          <w:rFonts w:hint="eastAsia" w:ascii="仿宋" w:hAnsi="仿宋" w:eastAsia="仿宋" w:cs="宋体"/>
          <w:color w:val="000000"/>
          <w:sz w:val="24"/>
          <w:lang w:val="en-US" w:eastAsia="zh-CN"/>
        </w:rPr>
      </w:pPr>
      <w:r>
        <w:rPr>
          <w:rFonts w:hint="eastAsia" w:ascii="仿宋" w:hAnsi="仿宋" w:eastAsia="仿宋" w:cs="宋体"/>
          <w:color w:val="000000"/>
          <w:sz w:val="24"/>
          <w:lang w:val="en-US" w:eastAsia="zh-CN"/>
        </w:rPr>
        <w:t>（具体详见附件）</w:t>
      </w:r>
    </w:p>
    <w:p w14:paraId="1A81E035">
      <w:pPr>
        <w:spacing w:line="360" w:lineRule="auto"/>
        <w:ind w:firstLine="470" w:firstLineChars="196"/>
        <w:rPr>
          <w:rFonts w:hint="eastAsia" w:ascii="仿宋" w:hAnsi="仿宋" w:eastAsia="仿宋" w:cs="宋体"/>
          <w:color w:val="000000"/>
          <w:sz w:val="24"/>
          <w:lang w:val="en-US" w:eastAsia="zh-CN"/>
        </w:rPr>
      </w:pPr>
      <w:r>
        <w:rPr>
          <w:rFonts w:hint="eastAsia" w:ascii="仿宋" w:hAnsi="仿宋" w:eastAsia="仿宋" w:cs="宋体"/>
          <w:color w:val="000000"/>
          <w:sz w:val="24"/>
          <w:lang w:val="en-US" w:eastAsia="zh-CN"/>
        </w:rPr>
        <w:br w:type="page"/>
      </w:r>
    </w:p>
    <w:p w14:paraId="64A59583">
      <w:pPr>
        <w:pStyle w:val="3"/>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四</w:t>
      </w:r>
      <w:r>
        <w:rPr>
          <w:rFonts w:hint="eastAsia" w:ascii="仿宋" w:hAnsi="仿宋" w:eastAsia="仿宋" w:cs="仿宋"/>
          <w:sz w:val="28"/>
          <w:szCs w:val="28"/>
        </w:rPr>
        <w:t>、营业执照</w:t>
      </w:r>
    </w:p>
    <w:p w14:paraId="5EA3CB16">
      <w:pPr>
        <w:rPr>
          <w:rFonts w:hint="eastAsia" w:ascii="仿宋" w:hAnsi="仿宋" w:eastAsia="仿宋" w:cs="宋体"/>
          <w:b/>
          <w:color w:val="000000"/>
          <w:sz w:val="24"/>
        </w:rPr>
      </w:pPr>
      <w:r>
        <w:rPr>
          <w:rFonts w:hint="eastAsia" w:ascii="仿宋" w:hAnsi="仿宋" w:eastAsia="仿宋" w:cs="宋体"/>
          <w:b/>
          <w:color w:val="000000"/>
          <w:sz w:val="24"/>
        </w:rPr>
        <w:br w:type="page"/>
      </w:r>
    </w:p>
    <w:p w14:paraId="54624F20">
      <w:pPr>
        <w:pStyle w:val="3"/>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五、供货方案</w:t>
      </w:r>
    </w:p>
    <w:p w14:paraId="1C6CDC61">
      <w:pPr>
        <w:spacing w:line="360" w:lineRule="auto"/>
        <w:ind w:firstLine="470" w:firstLineChars="196"/>
        <w:rPr>
          <w:rFonts w:hint="eastAsia" w:ascii="仿宋" w:hAnsi="仿宋" w:eastAsia="仿宋" w:cs="宋体"/>
          <w:color w:val="000000"/>
          <w:sz w:val="24"/>
          <w:lang w:val="en-US" w:eastAsia="zh-CN"/>
        </w:rPr>
      </w:pPr>
      <w:r>
        <w:rPr>
          <w:rFonts w:hint="eastAsia" w:ascii="仿宋" w:hAnsi="仿宋" w:eastAsia="仿宋" w:cs="宋体"/>
          <w:color w:val="000000"/>
          <w:sz w:val="24"/>
          <w:lang w:val="en-US" w:eastAsia="zh-CN"/>
        </w:rPr>
        <w:t>说明：</w:t>
      </w:r>
    </w:p>
    <w:p w14:paraId="31529ADB">
      <w:pPr>
        <w:spacing w:line="360" w:lineRule="auto"/>
        <w:ind w:firstLine="470" w:firstLineChars="196"/>
        <w:rPr>
          <w:rFonts w:hint="eastAsia" w:ascii="仿宋" w:hAnsi="仿宋" w:eastAsia="仿宋" w:cs="宋体"/>
          <w:color w:val="000000"/>
          <w:sz w:val="24"/>
          <w:lang w:val="en-US" w:eastAsia="zh-CN"/>
        </w:rPr>
      </w:pPr>
      <w:r>
        <w:rPr>
          <w:rFonts w:hint="eastAsia" w:ascii="仿宋" w:hAnsi="仿宋" w:eastAsia="仿宋" w:cs="宋体"/>
          <w:color w:val="000000"/>
          <w:sz w:val="24"/>
          <w:lang w:val="en-US" w:eastAsia="zh-CN"/>
        </w:rPr>
        <w:t>1.请随投标文件提交样品，未提交的视为无效响应。</w:t>
      </w:r>
    </w:p>
    <w:p w14:paraId="78B1A4C6">
      <w:pPr>
        <w:spacing w:line="360" w:lineRule="auto"/>
        <w:ind w:firstLine="470" w:firstLineChars="196"/>
        <w:rPr>
          <w:rFonts w:hint="eastAsia" w:ascii="仿宋" w:hAnsi="仿宋" w:eastAsia="仿宋" w:cs="宋体"/>
          <w:color w:val="000000"/>
          <w:sz w:val="24"/>
          <w:lang w:val="en-US" w:eastAsia="zh-CN"/>
        </w:rPr>
      </w:pPr>
      <w:r>
        <w:rPr>
          <w:rFonts w:hint="eastAsia" w:ascii="仿宋" w:hAnsi="仿宋" w:eastAsia="仿宋" w:cs="宋体"/>
          <w:color w:val="000000"/>
          <w:sz w:val="24"/>
          <w:lang w:val="en-US" w:eastAsia="zh-CN"/>
        </w:rPr>
        <w:t>2.请在本章节中说明样品材质、安装方式、安全性、耐用性等，可附产品宣传彩页、检测报告等。</w:t>
      </w:r>
    </w:p>
    <w:p w14:paraId="609862DE">
      <w:pPr>
        <w:spacing w:line="360" w:lineRule="auto"/>
        <w:ind w:firstLine="470" w:firstLineChars="196"/>
        <w:rPr>
          <w:rFonts w:hint="eastAsia" w:ascii="仿宋" w:hAnsi="仿宋" w:eastAsia="仿宋" w:cs="宋体"/>
          <w:color w:val="000000"/>
          <w:sz w:val="24"/>
          <w:lang w:val="en-US" w:eastAsia="zh-CN"/>
        </w:rPr>
      </w:pPr>
      <w:r>
        <w:rPr>
          <w:rFonts w:hint="eastAsia" w:ascii="仿宋" w:hAnsi="仿宋" w:eastAsia="仿宋" w:cs="宋体"/>
          <w:color w:val="000000"/>
          <w:sz w:val="24"/>
          <w:lang w:val="en-US" w:eastAsia="zh-CN"/>
        </w:rPr>
        <w:br w:type="page"/>
      </w:r>
    </w:p>
    <w:p w14:paraId="18A5E345">
      <w:pPr>
        <w:pStyle w:val="3"/>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六、涉及初审的资料</w:t>
      </w:r>
    </w:p>
    <w:p w14:paraId="7E82C544">
      <w:pPr>
        <w:spacing w:line="36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特别提醒：供应商提供相关符合要求的初步评审证明材料（以下资料须提供复印件加盖供应商公章，且复印件内容须清晰、明确，若提供相关资料内容模糊不清或无法辨认，磋商小组有权不予认可。）</w:t>
      </w:r>
    </w:p>
    <w:p w14:paraId="4E811662">
      <w:pPr>
        <w:spacing w:line="360" w:lineRule="auto"/>
        <w:ind w:firstLine="480" w:firstLineChars="20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营业执照</w:t>
      </w:r>
    </w:p>
    <w:p w14:paraId="49681C21">
      <w:pPr>
        <w:pStyle w:val="3"/>
        <w:widowControl/>
        <w:spacing w:before="120" w:after="120" w:line="240" w:lineRule="auto"/>
        <w:jc w:val="center"/>
        <w:rPr>
          <w:rStyle w:val="35"/>
          <w:rFonts w:hint="eastAsia" w:ascii="仿宋" w:hAnsi="仿宋" w:eastAsia="仿宋" w:cs="仿宋"/>
          <w:b/>
          <w:bCs w:val="0"/>
          <w:color w:val="auto"/>
          <w:sz w:val="28"/>
          <w:szCs w:val="30"/>
          <w:highlight w:val="none"/>
        </w:rPr>
      </w:pPr>
      <w:r>
        <w:rPr>
          <w:rFonts w:hint="eastAsia" w:ascii="仿宋" w:hAnsi="仿宋" w:eastAsia="仿宋" w:cs="仿宋"/>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109220</wp:posOffset>
                </wp:positionH>
                <wp:positionV relativeFrom="paragraph">
                  <wp:posOffset>21590</wp:posOffset>
                </wp:positionV>
                <wp:extent cx="5262880" cy="7570470"/>
                <wp:effectExtent l="7620" t="7620" r="25400" b="22860"/>
                <wp:wrapNone/>
                <wp:docPr id="2" name="矩形 2"/>
                <wp:cNvGraphicFramePr/>
                <a:graphic xmlns:a="http://schemas.openxmlformats.org/drawingml/2006/main">
                  <a:graphicData uri="http://schemas.microsoft.com/office/word/2010/wordprocessingShape">
                    <wps:wsp>
                      <wps:cNvSpPr/>
                      <wps:spPr>
                        <a:xfrm>
                          <a:off x="0" y="0"/>
                          <a:ext cx="5262880" cy="7570470"/>
                        </a:xfrm>
                        <a:prstGeom prst="rect">
                          <a:avLst/>
                        </a:prstGeom>
                        <a:noFill/>
                        <a:ln w="15875" cap="flat" cmpd="sng">
                          <a:solidFill>
                            <a:srgbClr val="000000"/>
                          </a:solidFill>
                          <a:prstDash val="solid"/>
                          <a:miter/>
                          <a:headEnd type="none" w="med" len="med"/>
                          <a:tailEnd type="none" w="med" len="med"/>
                        </a:ln>
                        <a:effectLst/>
                      </wps:spPr>
                      <wps:txbx>
                        <w:txbxContent>
                          <w:p w14:paraId="721BDB5E"/>
                          <w:p w14:paraId="0AC42C0B">
                            <w:pPr>
                              <w:pStyle w:val="2"/>
                            </w:pPr>
                          </w:p>
                          <w:p w14:paraId="1468A701"/>
                          <w:p w14:paraId="5D5CA64C">
                            <w:pPr>
                              <w:pStyle w:val="2"/>
                            </w:pPr>
                          </w:p>
                        </w:txbxContent>
                      </wps:txbx>
                      <wps:bodyPr wrap="square" upright="1"/>
                    </wps:wsp>
                  </a:graphicData>
                </a:graphic>
              </wp:anchor>
            </w:drawing>
          </mc:Choice>
          <mc:Fallback>
            <w:pict>
              <v:rect id="_x0000_s1026" o:spid="_x0000_s1026" o:spt="1" style="position:absolute;left:0pt;margin-left:8.6pt;margin-top:1.7pt;height:596.1pt;width:414.4pt;z-index:251659264;mso-width-relative:page;mso-height-relative:page;" filled="f" stroked="t" coordsize="21600,21600" o:gfxdata="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CS8ca2AAAAAkBAAAPAAAAAAAAAAEAIAAA&#10;ACIAAABkcnMvZG93bnJldi54bWxQSwECFAAUAAAACACHTuJA22r72QwCAAAeBAAADgAAAAAAAAAB&#10;ACAAAAAnAQAAZHJzL2Uyb0RvYy54bWxQSwUGAAAAAAYABgBZAQAApQUAAAAA&#10;">
                <v:fill on="f" focussize="0,0"/>
                <v:stroke weight="1.25pt" color="#000000" joinstyle="miter"/>
                <v:imagedata o:title=""/>
                <o:lock v:ext="edit" aspectratio="f"/>
                <v:textbox>
                  <w:txbxContent>
                    <w:p w14:paraId="721BDB5E"/>
                    <w:p w14:paraId="0AC42C0B">
                      <w:pPr>
                        <w:pStyle w:val="2"/>
                      </w:pPr>
                    </w:p>
                    <w:p w14:paraId="1468A701"/>
                    <w:p w14:paraId="5D5CA64C">
                      <w:pPr>
                        <w:pStyle w:val="2"/>
                      </w:pPr>
                    </w:p>
                  </w:txbxContent>
                </v:textbox>
              </v:rect>
            </w:pict>
          </mc:Fallback>
        </mc:AlternateContent>
      </w:r>
      <w:r>
        <w:rPr>
          <w:rFonts w:hint="eastAsia" w:ascii="仿宋" w:hAnsi="仿宋" w:eastAsia="仿宋" w:cs="仿宋"/>
          <w:color w:val="auto"/>
          <w:highlight w:val="none"/>
        </w:rPr>
        <w:br w:type="page"/>
      </w:r>
      <w:r>
        <w:rPr>
          <w:rStyle w:val="35"/>
          <w:rFonts w:hint="eastAsia" w:ascii="仿宋" w:hAnsi="仿宋" w:eastAsia="仿宋" w:cs="仿宋"/>
          <w:b/>
          <w:bCs w:val="0"/>
          <w:color w:val="auto"/>
          <w:sz w:val="28"/>
          <w:szCs w:val="30"/>
          <w:highlight w:val="none"/>
          <w:lang w:val="en-US"/>
        </w:rPr>
        <w:t>七</w:t>
      </w:r>
      <w:r>
        <w:rPr>
          <w:rStyle w:val="35"/>
          <w:rFonts w:hint="eastAsia" w:ascii="仿宋" w:hAnsi="仿宋" w:eastAsia="仿宋" w:cs="仿宋"/>
          <w:b/>
          <w:bCs w:val="0"/>
          <w:color w:val="auto"/>
          <w:sz w:val="28"/>
          <w:szCs w:val="30"/>
          <w:highlight w:val="none"/>
        </w:rPr>
        <w:t>、涉及详细评审的资料</w:t>
      </w:r>
    </w:p>
    <w:p w14:paraId="6D6084BA">
      <w:pPr>
        <w:widowControl/>
        <w:tabs>
          <w:tab w:val="left" w:pos="5580"/>
        </w:tabs>
        <w:spacing w:line="360" w:lineRule="auto"/>
        <w:ind w:firstLine="482" w:firstLineChars="200"/>
        <w:rPr>
          <w:rFonts w:hint="eastAsia" w:ascii="仿宋" w:hAnsi="仿宋" w:eastAsia="仿宋" w:cs="仿宋"/>
          <w:bCs/>
          <w:color w:val="auto"/>
          <w:kern w:val="0"/>
          <w:sz w:val="24"/>
          <w:szCs w:val="24"/>
          <w:highlight w:val="none"/>
        </w:rPr>
      </w:pPr>
      <w:r>
        <w:rPr>
          <w:rFonts w:hint="eastAsia" w:ascii="仿宋" w:hAnsi="仿宋" w:eastAsia="仿宋" w:cs="仿宋"/>
          <w:b/>
          <w:color w:val="auto"/>
          <w:kern w:val="0"/>
          <w:sz w:val="24"/>
          <w:szCs w:val="24"/>
          <w:highlight w:val="none"/>
        </w:rPr>
        <w:t>特别提醒：</w:t>
      </w:r>
      <w:r>
        <w:rPr>
          <w:rFonts w:hint="eastAsia" w:ascii="仿宋" w:hAnsi="仿宋" w:eastAsia="仿宋" w:cs="仿宋"/>
          <w:bCs/>
          <w:color w:val="auto"/>
          <w:kern w:val="0"/>
          <w:sz w:val="24"/>
          <w:szCs w:val="24"/>
          <w:highlight w:val="none"/>
        </w:rPr>
        <w:t xml:space="preserve">供应商提供的涉及详细评审证明材料须： </w:t>
      </w:r>
    </w:p>
    <w:p w14:paraId="44AA7083">
      <w:pPr>
        <w:widowControl/>
        <w:tabs>
          <w:tab w:val="left" w:pos="5580"/>
        </w:tabs>
        <w:spacing w:line="360" w:lineRule="auto"/>
        <w:ind w:firstLine="480" w:firstLineChars="200"/>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1、提供复印件加盖供应商公章；</w:t>
      </w:r>
    </w:p>
    <w:p w14:paraId="5C25FD72">
      <w:pPr>
        <w:widowControl/>
        <w:tabs>
          <w:tab w:val="left" w:pos="5580"/>
        </w:tabs>
        <w:spacing w:line="360" w:lineRule="auto"/>
        <w:ind w:firstLine="480" w:firstLineChars="200"/>
        <w:rPr>
          <w:rFonts w:hint="eastAsia" w:ascii="仿宋" w:hAnsi="仿宋" w:eastAsia="仿宋" w:cs="仿宋"/>
          <w:b/>
          <w:color w:val="auto"/>
          <w:kern w:val="0"/>
          <w:sz w:val="24"/>
          <w:szCs w:val="24"/>
          <w:highlight w:val="none"/>
        </w:rPr>
      </w:pPr>
      <w:r>
        <w:rPr>
          <w:rFonts w:hint="eastAsia" w:ascii="仿宋" w:hAnsi="仿宋" w:eastAsia="仿宋" w:cs="仿宋"/>
          <w:bCs/>
          <w:color w:val="auto"/>
          <w:kern w:val="0"/>
          <w:sz w:val="24"/>
          <w:szCs w:val="24"/>
          <w:highlight w:val="none"/>
        </w:rPr>
        <w:t>2、复印件内容须清晰、明确，若提供相关资料内容模糊不清或无法辨认，磋商小组有权不予认可。</w:t>
      </w:r>
    </w:p>
    <w:p w14:paraId="5B6417AB">
      <w:pPr>
        <w:widowControl/>
        <w:tabs>
          <w:tab w:val="left" w:pos="5580"/>
        </w:tabs>
        <w:spacing w:line="360" w:lineRule="auto"/>
        <w:ind w:firstLine="482" w:firstLineChars="200"/>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☛建议提供评审索引，以便磋商小组顺利开展评审工作</w:t>
      </w:r>
    </w:p>
    <w:tbl>
      <w:tblPr>
        <w:tblStyle w:val="19"/>
        <w:tblW w:w="1003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40"/>
        <w:gridCol w:w="1770"/>
        <w:gridCol w:w="5657"/>
        <w:gridCol w:w="922"/>
        <w:gridCol w:w="1048"/>
      </w:tblGrid>
      <w:tr w14:paraId="536EC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40" w:type="dxa"/>
            <w:noWrap/>
            <w:vAlign w:val="center"/>
          </w:tcPr>
          <w:p w14:paraId="2FA25511">
            <w:pPr>
              <w:keepNext w:val="0"/>
              <w:keepLines w:val="0"/>
              <w:suppressLineNumbers w:val="0"/>
              <w:adjustRightInd w:val="0"/>
              <w:snapToGrid w:val="0"/>
              <w:spacing w:before="0" w:beforeAutospacing="0" w:after="0" w:afterAutospacing="0" w:line="300" w:lineRule="auto"/>
              <w:ind w:left="0" w:right="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序号</w:t>
            </w:r>
          </w:p>
        </w:tc>
        <w:tc>
          <w:tcPr>
            <w:tcW w:w="1770" w:type="dxa"/>
            <w:noWrap/>
            <w:vAlign w:val="center"/>
          </w:tcPr>
          <w:p w14:paraId="0B8B1FD0">
            <w:pPr>
              <w:keepNext w:val="0"/>
              <w:keepLines w:val="0"/>
              <w:suppressLineNumbers w:val="0"/>
              <w:adjustRightInd w:val="0"/>
              <w:snapToGrid w:val="0"/>
              <w:spacing w:before="0" w:beforeAutospacing="0" w:after="0" w:afterAutospacing="0" w:line="300" w:lineRule="auto"/>
              <w:ind w:left="0" w:right="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内容</w:t>
            </w:r>
          </w:p>
        </w:tc>
        <w:tc>
          <w:tcPr>
            <w:tcW w:w="5657" w:type="dxa"/>
            <w:noWrap/>
            <w:vAlign w:val="center"/>
          </w:tcPr>
          <w:p w14:paraId="2F3D0DAD">
            <w:pPr>
              <w:keepNext w:val="0"/>
              <w:keepLines w:val="0"/>
              <w:suppressLineNumbers w:val="0"/>
              <w:adjustRightInd w:val="0"/>
              <w:snapToGrid w:val="0"/>
              <w:spacing w:before="0" w:beforeAutospacing="0" w:after="0" w:afterAutospacing="0" w:line="300" w:lineRule="auto"/>
              <w:ind w:left="0" w:right="0"/>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编列内容</w:t>
            </w:r>
          </w:p>
        </w:tc>
        <w:tc>
          <w:tcPr>
            <w:tcW w:w="922" w:type="dxa"/>
            <w:noWrap/>
            <w:vAlign w:val="center"/>
          </w:tcPr>
          <w:p w14:paraId="1506E0BC">
            <w:pPr>
              <w:keepNext w:val="0"/>
              <w:keepLines w:val="0"/>
              <w:widowControl/>
              <w:suppressLineNumbers w:val="0"/>
              <w:adjustRightInd w:val="0"/>
              <w:snapToGrid w:val="0"/>
              <w:spacing w:before="0" w:beforeAutospacing="0" w:after="0" w:afterAutospacing="0" w:line="300" w:lineRule="auto"/>
              <w:ind w:left="0" w:right="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分值</w:t>
            </w:r>
          </w:p>
        </w:tc>
        <w:tc>
          <w:tcPr>
            <w:tcW w:w="1048" w:type="dxa"/>
            <w:noWrap/>
            <w:vAlign w:val="top"/>
          </w:tcPr>
          <w:p w14:paraId="0899395D">
            <w:pPr>
              <w:keepNext w:val="0"/>
              <w:keepLines w:val="0"/>
              <w:widowControl/>
              <w:suppressLineNumbers w:val="0"/>
              <w:adjustRightInd w:val="0"/>
              <w:snapToGrid w:val="0"/>
              <w:spacing w:before="0" w:beforeAutospacing="0" w:after="0" w:afterAutospacing="0" w:line="300" w:lineRule="auto"/>
              <w:ind w:left="0" w:right="0"/>
              <w:jc w:val="center"/>
              <w:rPr>
                <w:rFonts w:hint="eastAsia" w:ascii="仿宋" w:hAnsi="仿宋" w:eastAsia="仿宋" w:cs="仿宋"/>
                <w:b/>
                <w:color w:val="auto"/>
                <w:kern w:val="0"/>
                <w:sz w:val="24"/>
                <w:szCs w:val="24"/>
                <w:highlight w:val="none"/>
              </w:rPr>
            </w:pPr>
            <w:r>
              <w:rPr>
                <w:rFonts w:hint="eastAsia" w:ascii="仿宋" w:hAnsi="仿宋" w:eastAsia="仿宋" w:cs="仿宋"/>
                <w:b/>
                <w:color w:val="auto"/>
                <w:kern w:val="0"/>
                <w:sz w:val="24"/>
                <w:szCs w:val="24"/>
                <w:highlight w:val="none"/>
              </w:rPr>
              <w:t>证明材料页码</w:t>
            </w:r>
          </w:p>
        </w:tc>
      </w:tr>
      <w:tr w14:paraId="169A5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40" w:type="dxa"/>
            <w:noWrap/>
            <w:vAlign w:val="center"/>
          </w:tcPr>
          <w:p w14:paraId="5E134C08">
            <w:pPr>
              <w:keepNext w:val="0"/>
              <w:keepLines w:val="0"/>
              <w:widowControl/>
              <w:suppressLineNumbers w:val="0"/>
              <w:adjustRightInd w:val="0"/>
              <w:snapToGrid w:val="0"/>
              <w:spacing w:before="0" w:beforeAutospacing="0" w:after="0" w:afterAutospacing="0" w:line="300" w:lineRule="auto"/>
              <w:ind w:left="0" w:right="0"/>
              <w:jc w:val="center"/>
              <w:rPr>
                <w:rFonts w:hint="eastAsia" w:ascii="仿宋" w:hAnsi="仿宋" w:eastAsia="仿宋" w:cs="仿宋"/>
                <w:color w:val="auto"/>
                <w:sz w:val="24"/>
                <w:szCs w:val="24"/>
                <w:highlight w:val="none"/>
              </w:rPr>
            </w:pPr>
          </w:p>
        </w:tc>
        <w:tc>
          <w:tcPr>
            <w:tcW w:w="1770" w:type="dxa"/>
            <w:noWrap/>
            <w:vAlign w:val="center"/>
          </w:tcPr>
          <w:p w14:paraId="2860A0F2">
            <w:pPr>
              <w:keepNext w:val="0"/>
              <w:keepLines w:val="0"/>
              <w:widowControl/>
              <w:suppressLineNumbers w:val="0"/>
              <w:adjustRightInd w:val="0"/>
              <w:snapToGrid w:val="0"/>
              <w:spacing w:before="0" w:beforeAutospacing="0" w:after="0" w:afterAutospacing="0" w:line="300" w:lineRule="auto"/>
              <w:ind w:left="0" w:right="0"/>
              <w:jc w:val="center"/>
              <w:rPr>
                <w:rFonts w:hint="eastAsia" w:ascii="仿宋" w:hAnsi="仿宋" w:eastAsia="仿宋" w:cs="仿宋"/>
                <w:bCs/>
                <w:color w:val="auto"/>
                <w:sz w:val="24"/>
                <w:szCs w:val="24"/>
                <w:highlight w:val="none"/>
              </w:rPr>
            </w:pPr>
          </w:p>
        </w:tc>
        <w:tc>
          <w:tcPr>
            <w:tcW w:w="5657" w:type="dxa"/>
            <w:noWrap/>
            <w:vAlign w:val="center"/>
          </w:tcPr>
          <w:p w14:paraId="488B60F0">
            <w:pPr>
              <w:keepNext w:val="0"/>
              <w:keepLines w:val="0"/>
              <w:suppressLineNumbers w:val="0"/>
              <w:spacing w:before="0" w:beforeAutospacing="0" w:after="0" w:afterAutospacing="0" w:line="300" w:lineRule="auto"/>
              <w:ind w:left="0" w:right="0"/>
              <w:jc w:val="left"/>
              <w:rPr>
                <w:rFonts w:hint="eastAsia" w:ascii="仿宋" w:hAnsi="仿宋" w:eastAsia="仿宋" w:cs="仿宋"/>
                <w:color w:val="auto"/>
                <w:kern w:val="0"/>
                <w:sz w:val="24"/>
                <w:szCs w:val="24"/>
                <w:highlight w:val="none"/>
              </w:rPr>
            </w:pPr>
          </w:p>
        </w:tc>
        <w:tc>
          <w:tcPr>
            <w:tcW w:w="922" w:type="dxa"/>
            <w:noWrap/>
            <w:vAlign w:val="center"/>
          </w:tcPr>
          <w:p w14:paraId="60140B10">
            <w:pPr>
              <w:keepNext w:val="0"/>
              <w:keepLines w:val="0"/>
              <w:widowControl/>
              <w:suppressLineNumbers w:val="0"/>
              <w:spacing w:before="0" w:beforeAutospacing="0" w:after="0" w:afterAutospacing="0" w:line="300" w:lineRule="auto"/>
              <w:ind w:left="0" w:right="0"/>
              <w:jc w:val="center"/>
              <w:rPr>
                <w:rFonts w:hint="eastAsia" w:ascii="仿宋" w:hAnsi="仿宋" w:eastAsia="仿宋" w:cs="仿宋"/>
                <w:color w:val="auto"/>
                <w:kern w:val="0"/>
                <w:sz w:val="24"/>
                <w:szCs w:val="24"/>
                <w:highlight w:val="none"/>
              </w:rPr>
            </w:pPr>
          </w:p>
        </w:tc>
        <w:tc>
          <w:tcPr>
            <w:tcW w:w="1048" w:type="dxa"/>
            <w:noWrap/>
            <w:vAlign w:val="center"/>
          </w:tcPr>
          <w:p w14:paraId="084E7E67">
            <w:pPr>
              <w:keepNext w:val="0"/>
              <w:keepLines w:val="0"/>
              <w:widowControl/>
              <w:suppressLineNumbers w:val="0"/>
              <w:spacing w:before="0" w:beforeAutospacing="0" w:after="0" w:afterAutospacing="0" w:line="300" w:lineRule="auto"/>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P页</w:t>
            </w:r>
          </w:p>
        </w:tc>
      </w:tr>
      <w:tr w14:paraId="7C1A1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40" w:type="dxa"/>
            <w:tcBorders>
              <w:top w:val="single" w:color="auto" w:sz="4" w:space="0"/>
            </w:tcBorders>
            <w:noWrap/>
            <w:vAlign w:val="center"/>
          </w:tcPr>
          <w:p w14:paraId="1A0FDE93">
            <w:pPr>
              <w:keepNext w:val="0"/>
              <w:keepLines w:val="0"/>
              <w:widowControl/>
              <w:suppressLineNumbers w:val="0"/>
              <w:adjustRightInd w:val="0"/>
              <w:snapToGrid w:val="0"/>
              <w:spacing w:before="0" w:beforeAutospacing="0" w:after="0" w:afterAutospacing="0" w:line="300" w:lineRule="auto"/>
              <w:ind w:left="0" w:right="0"/>
              <w:jc w:val="center"/>
              <w:rPr>
                <w:rFonts w:hint="eastAsia" w:ascii="仿宋" w:hAnsi="仿宋" w:eastAsia="仿宋" w:cs="仿宋"/>
                <w:color w:val="auto"/>
                <w:sz w:val="24"/>
                <w:szCs w:val="24"/>
                <w:highlight w:val="none"/>
              </w:rPr>
            </w:pPr>
          </w:p>
        </w:tc>
        <w:tc>
          <w:tcPr>
            <w:tcW w:w="1770" w:type="dxa"/>
            <w:tcBorders>
              <w:top w:val="single" w:color="auto" w:sz="4" w:space="0"/>
            </w:tcBorders>
            <w:noWrap/>
            <w:vAlign w:val="center"/>
          </w:tcPr>
          <w:p w14:paraId="59C16E31">
            <w:pPr>
              <w:keepNext w:val="0"/>
              <w:keepLines w:val="0"/>
              <w:widowControl/>
              <w:suppressLineNumbers w:val="0"/>
              <w:adjustRightInd w:val="0"/>
              <w:snapToGrid w:val="0"/>
              <w:spacing w:before="0" w:beforeAutospacing="0" w:after="0" w:afterAutospacing="0" w:line="300" w:lineRule="auto"/>
              <w:ind w:left="0" w:right="0"/>
              <w:jc w:val="center"/>
              <w:rPr>
                <w:rFonts w:hint="eastAsia" w:ascii="仿宋" w:hAnsi="仿宋" w:eastAsia="仿宋" w:cs="仿宋"/>
                <w:bCs/>
                <w:color w:val="auto"/>
                <w:sz w:val="24"/>
                <w:szCs w:val="24"/>
                <w:highlight w:val="none"/>
              </w:rPr>
            </w:pPr>
          </w:p>
        </w:tc>
        <w:tc>
          <w:tcPr>
            <w:tcW w:w="5657" w:type="dxa"/>
            <w:tcBorders>
              <w:top w:val="single" w:color="auto" w:sz="4" w:space="0"/>
            </w:tcBorders>
            <w:noWrap/>
            <w:vAlign w:val="center"/>
          </w:tcPr>
          <w:p w14:paraId="05FEB685">
            <w:pPr>
              <w:keepNext w:val="0"/>
              <w:keepLines w:val="0"/>
              <w:suppressLineNumbers w:val="0"/>
              <w:spacing w:before="0" w:beforeAutospacing="0" w:after="0" w:afterAutospacing="0"/>
              <w:ind w:left="0" w:right="0"/>
              <w:jc w:val="left"/>
              <w:rPr>
                <w:rFonts w:hint="eastAsia" w:ascii="仿宋" w:hAnsi="仿宋" w:eastAsia="仿宋" w:cs="仿宋"/>
                <w:color w:val="auto"/>
                <w:sz w:val="24"/>
                <w:szCs w:val="24"/>
                <w:highlight w:val="none"/>
              </w:rPr>
            </w:pPr>
          </w:p>
        </w:tc>
        <w:tc>
          <w:tcPr>
            <w:tcW w:w="922" w:type="dxa"/>
            <w:tcBorders>
              <w:top w:val="single" w:color="auto" w:sz="4" w:space="0"/>
            </w:tcBorders>
            <w:noWrap/>
            <w:vAlign w:val="center"/>
          </w:tcPr>
          <w:p w14:paraId="75BECB6C">
            <w:pPr>
              <w:keepNext w:val="0"/>
              <w:keepLines w:val="0"/>
              <w:suppressLineNumbers w:val="0"/>
              <w:spacing w:before="0" w:beforeAutospacing="0" w:after="0" w:afterAutospacing="0" w:line="300" w:lineRule="auto"/>
              <w:ind w:left="0" w:right="0"/>
              <w:jc w:val="center"/>
              <w:rPr>
                <w:rFonts w:hint="eastAsia" w:ascii="仿宋" w:hAnsi="仿宋" w:eastAsia="仿宋" w:cs="仿宋"/>
                <w:color w:val="auto"/>
                <w:sz w:val="24"/>
                <w:szCs w:val="24"/>
                <w:highlight w:val="none"/>
              </w:rPr>
            </w:pPr>
          </w:p>
        </w:tc>
        <w:tc>
          <w:tcPr>
            <w:tcW w:w="1048" w:type="dxa"/>
            <w:tcBorders>
              <w:top w:val="single" w:color="auto" w:sz="4" w:space="0"/>
            </w:tcBorders>
            <w:noWrap/>
            <w:vAlign w:val="center"/>
          </w:tcPr>
          <w:p w14:paraId="5B7B3B03">
            <w:pPr>
              <w:keepNext w:val="0"/>
              <w:keepLines w:val="0"/>
              <w:widowControl/>
              <w:suppressLineNumbers w:val="0"/>
              <w:spacing w:before="0" w:beforeAutospacing="0" w:after="0" w:afterAutospacing="0" w:line="300" w:lineRule="auto"/>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P页</w:t>
            </w:r>
          </w:p>
        </w:tc>
      </w:tr>
      <w:tr w14:paraId="6F4A0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40" w:type="dxa"/>
            <w:tcBorders>
              <w:top w:val="single" w:color="auto" w:sz="4" w:space="0"/>
            </w:tcBorders>
            <w:noWrap/>
            <w:vAlign w:val="center"/>
          </w:tcPr>
          <w:p w14:paraId="10FB785E">
            <w:pPr>
              <w:keepNext w:val="0"/>
              <w:keepLines w:val="0"/>
              <w:widowControl/>
              <w:suppressLineNumbers w:val="0"/>
              <w:adjustRightInd w:val="0"/>
              <w:snapToGrid w:val="0"/>
              <w:spacing w:before="0" w:beforeAutospacing="0" w:after="0" w:afterAutospacing="0" w:line="300" w:lineRule="auto"/>
              <w:ind w:left="0" w:right="0"/>
              <w:jc w:val="center"/>
              <w:rPr>
                <w:rFonts w:hint="eastAsia" w:ascii="仿宋" w:hAnsi="仿宋" w:eastAsia="仿宋" w:cs="仿宋"/>
                <w:color w:val="auto"/>
                <w:sz w:val="24"/>
                <w:szCs w:val="24"/>
                <w:highlight w:val="none"/>
              </w:rPr>
            </w:pPr>
          </w:p>
        </w:tc>
        <w:tc>
          <w:tcPr>
            <w:tcW w:w="1770" w:type="dxa"/>
            <w:tcBorders>
              <w:top w:val="single" w:color="auto" w:sz="4" w:space="0"/>
            </w:tcBorders>
            <w:noWrap/>
            <w:vAlign w:val="center"/>
          </w:tcPr>
          <w:p w14:paraId="5DFAA882">
            <w:pPr>
              <w:keepNext w:val="0"/>
              <w:keepLines w:val="0"/>
              <w:widowControl/>
              <w:suppressLineNumbers w:val="0"/>
              <w:adjustRightInd w:val="0"/>
              <w:snapToGrid w:val="0"/>
              <w:spacing w:before="0" w:beforeAutospacing="0" w:after="0" w:afterAutospacing="0" w:line="300" w:lineRule="auto"/>
              <w:ind w:left="0" w:right="0"/>
              <w:jc w:val="center"/>
              <w:rPr>
                <w:rFonts w:hint="eastAsia" w:ascii="仿宋" w:hAnsi="仿宋" w:eastAsia="仿宋" w:cs="仿宋"/>
                <w:bCs/>
                <w:color w:val="auto"/>
                <w:sz w:val="24"/>
                <w:szCs w:val="24"/>
                <w:highlight w:val="none"/>
              </w:rPr>
            </w:pPr>
          </w:p>
        </w:tc>
        <w:tc>
          <w:tcPr>
            <w:tcW w:w="5657" w:type="dxa"/>
            <w:tcBorders>
              <w:top w:val="single" w:color="auto" w:sz="4" w:space="0"/>
            </w:tcBorders>
            <w:noWrap/>
            <w:vAlign w:val="center"/>
          </w:tcPr>
          <w:p w14:paraId="41B0394F">
            <w:pPr>
              <w:keepNext w:val="0"/>
              <w:keepLines w:val="0"/>
              <w:suppressLineNumbers w:val="0"/>
              <w:spacing w:before="0" w:beforeAutospacing="0" w:after="0" w:afterAutospacing="0" w:line="300" w:lineRule="auto"/>
              <w:ind w:left="0" w:right="0"/>
              <w:rPr>
                <w:rFonts w:hint="eastAsia" w:ascii="仿宋" w:hAnsi="仿宋" w:eastAsia="仿宋" w:cs="仿宋"/>
                <w:color w:val="auto"/>
                <w:sz w:val="24"/>
                <w:szCs w:val="24"/>
                <w:highlight w:val="none"/>
              </w:rPr>
            </w:pPr>
          </w:p>
        </w:tc>
        <w:tc>
          <w:tcPr>
            <w:tcW w:w="922" w:type="dxa"/>
            <w:tcBorders>
              <w:top w:val="single" w:color="auto" w:sz="4" w:space="0"/>
            </w:tcBorders>
            <w:noWrap/>
            <w:vAlign w:val="center"/>
          </w:tcPr>
          <w:p w14:paraId="73020894">
            <w:pPr>
              <w:keepNext w:val="0"/>
              <w:keepLines w:val="0"/>
              <w:suppressLineNumbers w:val="0"/>
              <w:spacing w:before="0" w:beforeAutospacing="0" w:after="0" w:afterAutospacing="0" w:line="300" w:lineRule="auto"/>
              <w:ind w:left="0" w:right="0"/>
              <w:jc w:val="center"/>
              <w:rPr>
                <w:rFonts w:hint="eastAsia" w:ascii="仿宋" w:hAnsi="仿宋" w:eastAsia="仿宋" w:cs="仿宋"/>
                <w:color w:val="auto"/>
                <w:sz w:val="24"/>
                <w:szCs w:val="24"/>
                <w:highlight w:val="none"/>
              </w:rPr>
            </w:pPr>
          </w:p>
        </w:tc>
        <w:tc>
          <w:tcPr>
            <w:tcW w:w="1048" w:type="dxa"/>
            <w:tcBorders>
              <w:top w:val="single" w:color="auto" w:sz="4" w:space="0"/>
            </w:tcBorders>
            <w:noWrap/>
            <w:vAlign w:val="center"/>
          </w:tcPr>
          <w:p w14:paraId="742FF8CC">
            <w:pPr>
              <w:keepNext w:val="0"/>
              <w:keepLines w:val="0"/>
              <w:widowControl/>
              <w:suppressLineNumbers w:val="0"/>
              <w:spacing w:before="0" w:beforeAutospacing="0" w:after="0" w:afterAutospacing="0" w:line="300" w:lineRule="auto"/>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P页</w:t>
            </w:r>
          </w:p>
        </w:tc>
      </w:tr>
      <w:tr w14:paraId="5A8D4C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40" w:type="dxa"/>
            <w:noWrap/>
            <w:vAlign w:val="center"/>
          </w:tcPr>
          <w:p w14:paraId="601A2FA2">
            <w:pPr>
              <w:keepNext w:val="0"/>
              <w:keepLines w:val="0"/>
              <w:widowControl/>
              <w:suppressLineNumbers w:val="0"/>
              <w:adjustRightInd w:val="0"/>
              <w:snapToGrid w:val="0"/>
              <w:spacing w:before="0" w:beforeAutospacing="0" w:after="0" w:afterAutospacing="0" w:line="300" w:lineRule="auto"/>
              <w:ind w:left="0" w:right="0"/>
              <w:jc w:val="center"/>
              <w:rPr>
                <w:rFonts w:hint="eastAsia" w:ascii="仿宋" w:hAnsi="仿宋" w:eastAsia="仿宋" w:cs="仿宋"/>
                <w:color w:val="auto"/>
                <w:sz w:val="24"/>
                <w:szCs w:val="24"/>
                <w:highlight w:val="none"/>
              </w:rPr>
            </w:pPr>
          </w:p>
        </w:tc>
        <w:tc>
          <w:tcPr>
            <w:tcW w:w="1770" w:type="dxa"/>
            <w:noWrap/>
            <w:vAlign w:val="center"/>
          </w:tcPr>
          <w:p w14:paraId="610CEB04">
            <w:pPr>
              <w:keepNext w:val="0"/>
              <w:keepLines w:val="0"/>
              <w:widowControl/>
              <w:suppressLineNumbers w:val="0"/>
              <w:adjustRightInd w:val="0"/>
              <w:snapToGrid w:val="0"/>
              <w:spacing w:before="0" w:beforeAutospacing="0" w:after="0" w:afterAutospacing="0"/>
              <w:ind w:left="0" w:right="0"/>
              <w:jc w:val="center"/>
              <w:rPr>
                <w:rFonts w:hint="eastAsia" w:ascii="仿宋" w:hAnsi="仿宋" w:eastAsia="仿宋" w:cs="仿宋"/>
                <w:bCs/>
                <w:color w:val="auto"/>
                <w:sz w:val="24"/>
                <w:szCs w:val="24"/>
                <w:highlight w:val="none"/>
              </w:rPr>
            </w:pPr>
          </w:p>
        </w:tc>
        <w:tc>
          <w:tcPr>
            <w:tcW w:w="5657" w:type="dxa"/>
            <w:noWrap/>
            <w:vAlign w:val="center"/>
          </w:tcPr>
          <w:p w14:paraId="67C89E90">
            <w:pPr>
              <w:keepNext w:val="0"/>
              <w:keepLines w:val="0"/>
              <w:suppressLineNumbers w:val="0"/>
              <w:spacing w:before="0" w:beforeAutospacing="0" w:after="0" w:afterAutospacing="0" w:line="300" w:lineRule="auto"/>
              <w:ind w:left="0" w:right="0"/>
              <w:jc w:val="left"/>
              <w:rPr>
                <w:rFonts w:hint="eastAsia" w:ascii="仿宋" w:hAnsi="仿宋" w:eastAsia="仿宋" w:cs="仿宋"/>
                <w:color w:val="auto"/>
                <w:sz w:val="24"/>
                <w:szCs w:val="24"/>
                <w:highlight w:val="none"/>
                <w:shd w:val="clear" w:color="auto" w:fill="FFFFFF"/>
              </w:rPr>
            </w:pPr>
          </w:p>
        </w:tc>
        <w:tc>
          <w:tcPr>
            <w:tcW w:w="922" w:type="dxa"/>
            <w:noWrap/>
            <w:vAlign w:val="center"/>
          </w:tcPr>
          <w:p w14:paraId="3E0B5783">
            <w:pPr>
              <w:keepNext w:val="0"/>
              <w:keepLines w:val="0"/>
              <w:widowControl/>
              <w:suppressLineNumbers w:val="0"/>
              <w:adjustRightInd w:val="0"/>
              <w:snapToGrid w:val="0"/>
              <w:spacing w:before="0" w:beforeAutospacing="0" w:after="0" w:afterAutospacing="0" w:line="300" w:lineRule="auto"/>
              <w:ind w:left="0" w:right="0"/>
              <w:jc w:val="center"/>
              <w:rPr>
                <w:rFonts w:hint="eastAsia" w:ascii="仿宋" w:hAnsi="仿宋" w:eastAsia="仿宋" w:cs="仿宋"/>
                <w:color w:val="auto"/>
                <w:kern w:val="0"/>
                <w:sz w:val="24"/>
                <w:szCs w:val="24"/>
                <w:highlight w:val="none"/>
              </w:rPr>
            </w:pPr>
          </w:p>
        </w:tc>
        <w:tc>
          <w:tcPr>
            <w:tcW w:w="1048" w:type="dxa"/>
            <w:noWrap/>
            <w:vAlign w:val="center"/>
          </w:tcPr>
          <w:p w14:paraId="4958E117">
            <w:pPr>
              <w:keepNext w:val="0"/>
              <w:keepLines w:val="0"/>
              <w:widowControl/>
              <w:suppressLineNumbers w:val="0"/>
              <w:spacing w:before="0" w:beforeAutospacing="0" w:after="0" w:afterAutospacing="0" w:line="300" w:lineRule="auto"/>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P页</w:t>
            </w:r>
          </w:p>
        </w:tc>
      </w:tr>
      <w:tr w14:paraId="6FEB8C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40" w:type="dxa"/>
            <w:noWrap/>
            <w:vAlign w:val="center"/>
          </w:tcPr>
          <w:p w14:paraId="238034AC">
            <w:pPr>
              <w:keepNext w:val="0"/>
              <w:keepLines w:val="0"/>
              <w:widowControl/>
              <w:suppressLineNumbers w:val="0"/>
              <w:adjustRightInd w:val="0"/>
              <w:snapToGrid w:val="0"/>
              <w:spacing w:before="0" w:beforeAutospacing="0" w:after="0" w:afterAutospacing="0" w:line="300" w:lineRule="auto"/>
              <w:ind w:left="0" w:right="0"/>
              <w:jc w:val="center"/>
              <w:rPr>
                <w:rFonts w:hint="eastAsia" w:ascii="仿宋" w:hAnsi="仿宋" w:eastAsia="仿宋" w:cs="仿宋"/>
                <w:color w:val="auto"/>
                <w:sz w:val="24"/>
                <w:szCs w:val="24"/>
                <w:highlight w:val="none"/>
              </w:rPr>
            </w:pPr>
          </w:p>
        </w:tc>
        <w:tc>
          <w:tcPr>
            <w:tcW w:w="1770" w:type="dxa"/>
            <w:noWrap/>
            <w:vAlign w:val="center"/>
          </w:tcPr>
          <w:p w14:paraId="470B3802">
            <w:pPr>
              <w:keepNext w:val="0"/>
              <w:keepLines w:val="0"/>
              <w:widowControl/>
              <w:suppressLineNumbers w:val="0"/>
              <w:adjustRightInd w:val="0"/>
              <w:snapToGrid w:val="0"/>
              <w:spacing w:before="0" w:beforeAutospacing="0" w:after="0" w:afterAutospacing="0"/>
              <w:ind w:left="0" w:right="0"/>
              <w:jc w:val="center"/>
              <w:rPr>
                <w:rFonts w:hint="eastAsia" w:ascii="仿宋" w:hAnsi="仿宋" w:eastAsia="仿宋" w:cs="仿宋"/>
                <w:bCs/>
                <w:color w:val="auto"/>
                <w:sz w:val="24"/>
                <w:szCs w:val="24"/>
                <w:highlight w:val="none"/>
              </w:rPr>
            </w:pPr>
          </w:p>
        </w:tc>
        <w:tc>
          <w:tcPr>
            <w:tcW w:w="5657" w:type="dxa"/>
            <w:noWrap/>
            <w:vAlign w:val="center"/>
          </w:tcPr>
          <w:p w14:paraId="036B1CE8">
            <w:pPr>
              <w:keepNext w:val="0"/>
              <w:keepLines w:val="0"/>
              <w:suppressLineNumbers w:val="0"/>
              <w:spacing w:before="0" w:beforeAutospacing="0" w:after="0" w:afterAutospacing="0" w:line="300" w:lineRule="auto"/>
              <w:ind w:left="0" w:right="0"/>
              <w:jc w:val="left"/>
              <w:rPr>
                <w:rFonts w:hint="eastAsia" w:ascii="仿宋" w:hAnsi="仿宋" w:eastAsia="仿宋" w:cs="仿宋"/>
                <w:color w:val="auto"/>
                <w:sz w:val="24"/>
                <w:szCs w:val="24"/>
                <w:highlight w:val="none"/>
                <w:shd w:val="clear" w:color="auto" w:fill="FFFFFF"/>
              </w:rPr>
            </w:pPr>
          </w:p>
        </w:tc>
        <w:tc>
          <w:tcPr>
            <w:tcW w:w="922" w:type="dxa"/>
            <w:noWrap/>
            <w:vAlign w:val="center"/>
          </w:tcPr>
          <w:p w14:paraId="5A872087">
            <w:pPr>
              <w:keepNext w:val="0"/>
              <w:keepLines w:val="0"/>
              <w:widowControl/>
              <w:suppressLineNumbers w:val="0"/>
              <w:adjustRightInd w:val="0"/>
              <w:snapToGrid w:val="0"/>
              <w:spacing w:before="0" w:beforeAutospacing="0" w:after="0" w:afterAutospacing="0" w:line="300" w:lineRule="auto"/>
              <w:ind w:left="0" w:right="0"/>
              <w:jc w:val="center"/>
              <w:rPr>
                <w:rFonts w:hint="eastAsia" w:ascii="仿宋" w:hAnsi="仿宋" w:eastAsia="仿宋" w:cs="仿宋"/>
                <w:color w:val="auto"/>
                <w:kern w:val="0"/>
                <w:sz w:val="24"/>
                <w:szCs w:val="24"/>
                <w:highlight w:val="none"/>
              </w:rPr>
            </w:pPr>
          </w:p>
        </w:tc>
        <w:tc>
          <w:tcPr>
            <w:tcW w:w="1048" w:type="dxa"/>
            <w:noWrap/>
            <w:vAlign w:val="center"/>
          </w:tcPr>
          <w:p w14:paraId="32786E89">
            <w:pPr>
              <w:keepNext w:val="0"/>
              <w:keepLines w:val="0"/>
              <w:widowControl/>
              <w:suppressLineNumbers w:val="0"/>
              <w:spacing w:before="0" w:beforeAutospacing="0" w:after="0" w:afterAutospacing="0" w:line="300" w:lineRule="auto"/>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P页</w:t>
            </w:r>
          </w:p>
        </w:tc>
      </w:tr>
      <w:tr w14:paraId="38E18D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40" w:type="dxa"/>
            <w:noWrap/>
            <w:vAlign w:val="center"/>
          </w:tcPr>
          <w:p w14:paraId="52DC2ED0">
            <w:pPr>
              <w:keepNext w:val="0"/>
              <w:keepLines w:val="0"/>
              <w:widowControl/>
              <w:suppressLineNumbers w:val="0"/>
              <w:adjustRightInd w:val="0"/>
              <w:snapToGrid w:val="0"/>
              <w:spacing w:before="0" w:beforeAutospacing="0" w:after="0" w:afterAutospacing="0" w:line="300" w:lineRule="auto"/>
              <w:ind w:left="0" w:right="0"/>
              <w:jc w:val="center"/>
              <w:rPr>
                <w:rFonts w:hint="eastAsia" w:ascii="仿宋" w:hAnsi="仿宋" w:eastAsia="仿宋" w:cs="仿宋"/>
                <w:color w:val="auto"/>
                <w:sz w:val="24"/>
                <w:szCs w:val="24"/>
                <w:highlight w:val="none"/>
              </w:rPr>
            </w:pPr>
          </w:p>
        </w:tc>
        <w:tc>
          <w:tcPr>
            <w:tcW w:w="1770" w:type="dxa"/>
            <w:noWrap/>
            <w:vAlign w:val="center"/>
          </w:tcPr>
          <w:p w14:paraId="00CEFE3A">
            <w:pPr>
              <w:keepNext w:val="0"/>
              <w:keepLines w:val="0"/>
              <w:suppressLineNumbers w:val="0"/>
              <w:spacing w:before="0" w:beforeAutospacing="0" w:after="0" w:afterAutospacing="0" w:line="300" w:lineRule="auto"/>
              <w:ind w:left="0" w:right="0"/>
              <w:jc w:val="center"/>
              <w:rPr>
                <w:rFonts w:hint="eastAsia" w:ascii="仿宋" w:hAnsi="仿宋" w:eastAsia="仿宋" w:cs="仿宋"/>
                <w:color w:val="auto"/>
                <w:kern w:val="0"/>
                <w:sz w:val="24"/>
                <w:szCs w:val="24"/>
                <w:highlight w:val="none"/>
              </w:rPr>
            </w:pPr>
          </w:p>
        </w:tc>
        <w:tc>
          <w:tcPr>
            <w:tcW w:w="5657" w:type="dxa"/>
            <w:noWrap/>
            <w:vAlign w:val="center"/>
          </w:tcPr>
          <w:p w14:paraId="1C33BFA3">
            <w:pPr>
              <w:keepNext w:val="0"/>
              <w:keepLines w:val="0"/>
              <w:suppressLineNumbers w:val="0"/>
              <w:spacing w:before="0" w:beforeAutospacing="0" w:after="0" w:afterAutospacing="0" w:line="300" w:lineRule="auto"/>
              <w:ind w:left="0" w:right="0"/>
              <w:jc w:val="left"/>
              <w:rPr>
                <w:rFonts w:hint="eastAsia" w:ascii="仿宋" w:hAnsi="仿宋" w:eastAsia="仿宋" w:cs="仿宋"/>
                <w:bCs/>
                <w:color w:val="auto"/>
                <w:sz w:val="24"/>
                <w:szCs w:val="24"/>
                <w:highlight w:val="none"/>
              </w:rPr>
            </w:pPr>
          </w:p>
        </w:tc>
        <w:tc>
          <w:tcPr>
            <w:tcW w:w="922" w:type="dxa"/>
            <w:noWrap/>
            <w:vAlign w:val="center"/>
          </w:tcPr>
          <w:p w14:paraId="0B92BD17">
            <w:pPr>
              <w:keepNext w:val="0"/>
              <w:keepLines w:val="0"/>
              <w:widowControl/>
              <w:suppressLineNumbers w:val="0"/>
              <w:adjustRightInd w:val="0"/>
              <w:snapToGrid w:val="0"/>
              <w:spacing w:before="0" w:beforeAutospacing="0" w:after="0" w:afterAutospacing="0" w:line="300" w:lineRule="auto"/>
              <w:ind w:left="0" w:right="0"/>
              <w:jc w:val="center"/>
              <w:rPr>
                <w:rFonts w:hint="eastAsia" w:ascii="仿宋" w:hAnsi="仿宋" w:eastAsia="仿宋" w:cs="仿宋"/>
                <w:color w:val="auto"/>
                <w:kern w:val="0"/>
                <w:sz w:val="24"/>
                <w:szCs w:val="24"/>
                <w:highlight w:val="none"/>
              </w:rPr>
            </w:pPr>
          </w:p>
        </w:tc>
        <w:tc>
          <w:tcPr>
            <w:tcW w:w="1048" w:type="dxa"/>
            <w:noWrap/>
            <w:vAlign w:val="center"/>
          </w:tcPr>
          <w:p w14:paraId="4D8BE633">
            <w:pPr>
              <w:keepNext w:val="0"/>
              <w:keepLines w:val="0"/>
              <w:widowControl/>
              <w:suppressLineNumbers w:val="0"/>
              <w:spacing w:before="0" w:beforeAutospacing="0" w:after="0" w:afterAutospacing="0" w:line="300" w:lineRule="auto"/>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P页</w:t>
            </w:r>
          </w:p>
        </w:tc>
      </w:tr>
      <w:tr w14:paraId="423E9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40" w:type="dxa"/>
            <w:noWrap/>
            <w:vAlign w:val="center"/>
          </w:tcPr>
          <w:p w14:paraId="7C165AE3">
            <w:pPr>
              <w:keepNext w:val="0"/>
              <w:keepLines w:val="0"/>
              <w:widowControl/>
              <w:suppressLineNumbers w:val="0"/>
              <w:adjustRightInd w:val="0"/>
              <w:snapToGrid w:val="0"/>
              <w:spacing w:before="0" w:beforeAutospacing="0" w:after="0" w:afterAutospacing="0" w:line="300" w:lineRule="auto"/>
              <w:ind w:left="0" w:right="0"/>
              <w:jc w:val="center"/>
              <w:rPr>
                <w:rFonts w:hint="eastAsia" w:ascii="仿宋" w:hAnsi="仿宋" w:eastAsia="仿宋" w:cs="仿宋"/>
                <w:color w:val="auto"/>
                <w:sz w:val="24"/>
                <w:szCs w:val="24"/>
                <w:highlight w:val="none"/>
              </w:rPr>
            </w:pPr>
          </w:p>
        </w:tc>
        <w:tc>
          <w:tcPr>
            <w:tcW w:w="1770" w:type="dxa"/>
            <w:noWrap/>
            <w:vAlign w:val="center"/>
          </w:tcPr>
          <w:p w14:paraId="519F48A2">
            <w:pPr>
              <w:keepNext w:val="0"/>
              <w:keepLines w:val="0"/>
              <w:suppressLineNumbers w:val="0"/>
              <w:spacing w:before="0" w:beforeAutospacing="0" w:after="0" w:afterAutospacing="0" w:line="300" w:lineRule="auto"/>
              <w:ind w:left="0" w:right="0"/>
              <w:jc w:val="center"/>
              <w:rPr>
                <w:rFonts w:hint="eastAsia" w:ascii="仿宋" w:hAnsi="仿宋" w:eastAsia="仿宋" w:cs="仿宋"/>
                <w:color w:val="auto"/>
                <w:kern w:val="0"/>
                <w:sz w:val="24"/>
                <w:szCs w:val="24"/>
                <w:highlight w:val="none"/>
              </w:rPr>
            </w:pPr>
          </w:p>
        </w:tc>
        <w:tc>
          <w:tcPr>
            <w:tcW w:w="5657" w:type="dxa"/>
            <w:noWrap/>
            <w:vAlign w:val="center"/>
          </w:tcPr>
          <w:p w14:paraId="568B3A50">
            <w:pPr>
              <w:keepNext w:val="0"/>
              <w:keepLines w:val="0"/>
              <w:suppressLineNumbers w:val="0"/>
              <w:spacing w:before="0" w:beforeAutospacing="0" w:after="0" w:afterAutospacing="0" w:line="300" w:lineRule="auto"/>
              <w:ind w:left="0" w:right="0"/>
              <w:jc w:val="left"/>
              <w:rPr>
                <w:rFonts w:hint="eastAsia" w:ascii="仿宋" w:hAnsi="仿宋" w:eastAsia="仿宋" w:cs="仿宋"/>
                <w:color w:val="auto"/>
                <w:kern w:val="0"/>
                <w:sz w:val="24"/>
                <w:szCs w:val="24"/>
                <w:highlight w:val="none"/>
              </w:rPr>
            </w:pPr>
          </w:p>
        </w:tc>
        <w:tc>
          <w:tcPr>
            <w:tcW w:w="922" w:type="dxa"/>
            <w:noWrap/>
            <w:vAlign w:val="center"/>
          </w:tcPr>
          <w:p w14:paraId="5B6828AA">
            <w:pPr>
              <w:keepNext w:val="0"/>
              <w:keepLines w:val="0"/>
              <w:widowControl/>
              <w:suppressLineNumbers w:val="0"/>
              <w:adjustRightInd w:val="0"/>
              <w:snapToGrid w:val="0"/>
              <w:spacing w:before="0" w:beforeAutospacing="0" w:after="0" w:afterAutospacing="0" w:line="300" w:lineRule="auto"/>
              <w:ind w:left="0" w:right="0"/>
              <w:jc w:val="center"/>
              <w:rPr>
                <w:rFonts w:hint="eastAsia" w:ascii="仿宋" w:hAnsi="仿宋" w:eastAsia="仿宋" w:cs="仿宋"/>
                <w:color w:val="auto"/>
                <w:kern w:val="0"/>
                <w:sz w:val="24"/>
                <w:szCs w:val="24"/>
                <w:highlight w:val="none"/>
              </w:rPr>
            </w:pPr>
          </w:p>
        </w:tc>
        <w:tc>
          <w:tcPr>
            <w:tcW w:w="1048" w:type="dxa"/>
            <w:noWrap/>
            <w:vAlign w:val="center"/>
          </w:tcPr>
          <w:p w14:paraId="713CE3F2">
            <w:pPr>
              <w:keepNext w:val="0"/>
              <w:keepLines w:val="0"/>
              <w:widowControl/>
              <w:suppressLineNumbers w:val="0"/>
              <w:spacing w:before="0" w:beforeAutospacing="0" w:after="0" w:afterAutospacing="0" w:line="300" w:lineRule="auto"/>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P页</w:t>
            </w:r>
          </w:p>
        </w:tc>
      </w:tr>
      <w:tr w14:paraId="4E4A1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40" w:type="dxa"/>
            <w:noWrap/>
            <w:vAlign w:val="center"/>
          </w:tcPr>
          <w:p w14:paraId="34480090">
            <w:pPr>
              <w:keepNext w:val="0"/>
              <w:keepLines w:val="0"/>
              <w:widowControl/>
              <w:suppressLineNumbers w:val="0"/>
              <w:adjustRightInd w:val="0"/>
              <w:snapToGrid w:val="0"/>
              <w:spacing w:before="0" w:beforeAutospacing="0" w:after="0" w:afterAutospacing="0" w:line="300" w:lineRule="auto"/>
              <w:ind w:left="0" w:right="0"/>
              <w:jc w:val="center"/>
              <w:rPr>
                <w:rFonts w:hint="eastAsia" w:ascii="仿宋" w:hAnsi="仿宋" w:eastAsia="仿宋" w:cs="仿宋"/>
                <w:color w:val="auto"/>
                <w:sz w:val="24"/>
                <w:szCs w:val="24"/>
                <w:highlight w:val="none"/>
              </w:rPr>
            </w:pPr>
          </w:p>
        </w:tc>
        <w:tc>
          <w:tcPr>
            <w:tcW w:w="1770" w:type="dxa"/>
            <w:noWrap/>
            <w:vAlign w:val="center"/>
          </w:tcPr>
          <w:p w14:paraId="38712A4F">
            <w:pPr>
              <w:keepNext w:val="0"/>
              <w:keepLines w:val="0"/>
              <w:suppressLineNumbers w:val="0"/>
              <w:spacing w:before="0" w:beforeAutospacing="0" w:after="0" w:afterAutospacing="0" w:line="300" w:lineRule="auto"/>
              <w:ind w:left="0" w:right="0"/>
              <w:jc w:val="center"/>
              <w:rPr>
                <w:rFonts w:hint="eastAsia" w:ascii="仿宋" w:hAnsi="仿宋" w:eastAsia="仿宋" w:cs="仿宋"/>
                <w:color w:val="auto"/>
                <w:kern w:val="0"/>
                <w:sz w:val="24"/>
                <w:szCs w:val="24"/>
                <w:highlight w:val="none"/>
              </w:rPr>
            </w:pPr>
          </w:p>
        </w:tc>
        <w:tc>
          <w:tcPr>
            <w:tcW w:w="5657" w:type="dxa"/>
            <w:noWrap/>
            <w:vAlign w:val="center"/>
          </w:tcPr>
          <w:p w14:paraId="7DD2D89B">
            <w:pPr>
              <w:keepNext w:val="0"/>
              <w:keepLines w:val="0"/>
              <w:suppressLineNumbers w:val="0"/>
              <w:spacing w:before="0" w:beforeAutospacing="0" w:after="0" w:afterAutospacing="0" w:line="300" w:lineRule="auto"/>
              <w:ind w:left="0" w:right="0"/>
              <w:jc w:val="left"/>
              <w:rPr>
                <w:rFonts w:hint="eastAsia" w:ascii="仿宋" w:hAnsi="仿宋" w:eastAsia="仿宋" w:cs="仿宋"/>
                <w:color w:val="auto"/>
                <w:kern w:val="0"/>
                <w:sz w:val="24"/>
                <w:szCs w:val="24"/>
                <w:highlight w:val="none"/>
              </w:rPr>
            </w:pPr>
          </w:p>
        </w:tc>
        <w:tc>
          <w:tcPr>
            <w:tcW w:w="922" w:type="dxa"/>
            <w:noWrap/>
            <w:vAlign w:val="center"/>
          </w:tcPr>
          <w:p w14:paraId="36FC33AC">
            <w:pPr>
              <w:keepNext w:val="0"/>
              <w:keepLines w:val="0"/>
              <w:widowControl/>
              <w:suppressLineNumbers w:val="0"/>
              <w:adjustRightInd w:val="0"/>
              <w:snapToGrid w:val="0"/>
              <w:spacing w:before="0" w:beforeAutospacing="0" w:after="0" w:afterAutospacing="0" w:line="300" w:lineRule="auto"/>
              <w:ind w:left="0" w:right="0"/>
              <w:jc w:val="center"/>
              <w:rPr>
                <w:rFonts w:hint="eastAsia" w:ascii="仿宋" w:hAnsi="仿宋" w:eastAsia="仿宋" w:cs="仿宋"/>
                <w:color w:val="auto"/>
                <w:kern w:val="0"/>
                <w:sz w:val="24"/>
                <w:szCs w:val="24"/>
                <w:highlight w:val="none"/>
              </w:rPr>
            </w:pPr>
          </w:p>
        </w:tc>
        <w:tc>
          <w:tcPr>
            <w:tcW w:w="1048" w:type="dxa"/>
            <w:noWrap/>
            <w:vAlign w:val="center"/>
          </w:tcPr>
          <w:p w14:paraId="399B987C">
            <w:pPr>
              <w:keepNext w:val="0"/>
              <w:keepLines w:val="0"/>
              <w:widowControl/>
              <w:suppressLineNumbers w:val="0"/>
              <w:spacing w:before="0" w:beforeAutospacing="0" w:after="0" w:afterAutospacing="0" w:line="300" w:lineRule="auto"/>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P页</w:t>
            </w:r>
          </w:p>
        </w:tc>
      </w:tr>
      <w:tr w14:paraId="525EAD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40" w:type="dxa"/>
            <w:noWrap/>
            <w:vAlign w:val="center"/>
          </w:tcPr>
          <w:p w14:paraId="4B450BA3">
            <w:pPr>
              <w:keepNext w:val="0"/>
              <w:keepLines w:val="0"/>
              <w:widowControl/>
              <w:suppressLineNumbers w:val="0"/>
              <w:adjustRightInd w:val="0"/>
              <w:snapToGrid w:val="0"/>
              <w:spacing w:before="0" w:beforeAutospacing="0" w:after="0" w:afterAutospacing="0" w:line="300" w:lineRule="auto"/>
              <w:ind w:left="0" w:right="0"/>
              <w:jc w:val="center"/>
              <w:rPr>
                <w:rFonts w:hint="eastAsia" w:ascii="仿宋" w:hAnsi="仿宋" w:eastAsia="仿宋" w:cs="仿宋"/>
                <w:color w:val="auto"/>
                <w:sz w:val="24"/>
                <w:szCs w:val="24"/>
                <w:highlight w:val="none"/>
              </w:rPr>
            </w:pPr>
          </w:p>
        </w:tc>
        <w:tc>
          <w:tcPr>
            <w:tcW w:w="1770" w:type="dxa"/>
            <w:noWrap/>
            <w:vAlign w:val="center"/>
          </w:tcPr>
          <w:p w14:paraId="0EC3FD75">
            <w:pPr>
              <w:keepNext w:val="0"/>
              <w:keepLines w:val="0"/>
              <w:suppressLineNumbers w:val="0"/>
              <w:spacing w:before="0" w:beforeAutospacing="0" w:after="0" w:afterAutospacing="0" w:line="300" w:lineRule="auto"/>
              <w:ind w:left="0" w:right="0"/>
              <w:jc w:val="center"/>
              <w:rPr>
                <w:rFonts w:hint="eastAsia" w:ascii="仿宋" w:hAnsi="仿宋" w:eastAsia="仿宋" w:cs="仿宋"/>
                <w:color w:val="auto"/>
                <w:kern w:val="0"/>
                <w:sz w:val="24"/>
                <w:szCs w:val="24"/>
                <w:highlight w:val="none"/>
              </w:rPr>
            </w:pPr>
          </w:p>
        </w:tc>
        <w:tc>
          <w:tcPr>
            <w:tcW w:w="5657" w:type="dxa"/>
            <w:noWrap/>
            <w:vAlign w:val="center"/>
          </w:tcPr>
          <w:p w14:paraId="5C8EBDC6">
            <w:pPr>
              <w:keepNext w:val="0"/>
              <w:keepLines w:val="0"/>
              <w:suppressLineNumbers w:val="0"/>
              <w:spacing w:before="0" w:beforeAutospacing="0" w:after="0" w:afterAutospacing="0" w:line="300" w:lineRule="auto"/>
              <w:ind w:left="0" w:right="0"/>
              <w:jc w:val="left"/>
              <w:rPr>
                <w:rFonts w:hint="eastAsia" w:ascii="仿宋" w:hAnsi="仿宋" w:eastAsia="仿宋" w:cs="仿宋"/>
                <w:color w:val="auto"/>
                <w:kern w:val="0"/>
                <w:sz w:val="24"/>
                <w:szCs w:val="24"/>
                <w:highlight w:val="none"/>
              </w:rPr>
            </w:pPr>
          </w:p>
        </w:tc>
        <w:tc>
          <w:tcPr>
            <w:tcW w:w="922" w:type="dxa"/>
            <w:noWrap/>
            <w:vAlign w:val="center"/>
          </w:tcPr>
          <w:p w14:paraId="67D45512">
            <w:pPr>
              <w:keepNext w:val="0"/>
              <w:keepLines w:val="0"/>
              <w:widowControl/>
              <w:suppressLineNumbers w:val="0"/>
              <w:adjustRightInd w:val="0"/>
              <w:snapToGrid w:val="0"/>
              <w:spacing w:before="0" w:beforeAutospacing="0" w:after="0" w:afterAutospacing="0" w:line="300" w:lineRule="auto"/>
              <w:ind w:left="0" w:right="0"/>
              <w:jc w:val="center"/>
              <w:rPr>
                <w:rFonts w:hint="eastAsia" w:ascii="仿宋" w:hAnsi="仿宋" w:eastAsia="仿宋" w:cs="仿宋"/>
                <w:color w:val="auto"/>
                <w:kern w:val="0"/>
                <w:sz w:val="24"/>
                <w:szCs w:val="24"/>
                <w:highlight w:val="none"/>
              </w:rPr>
            </w:pPr>
          </w:p>
        </w:tc>
        <w:tc>
          <w:tcPr>
            <w:tcW w:w="1048" w:type="dxa"/>
            <w:noWrap/>
            <w:vAlign w:val="center"/>
          </w:tcPr>
          <w:p w14:paraId="63A33CC8">
            <w:pPr>
              <w:keepNext w:val="0"/>
              <w:keepLines w:val="0"/>
              <w:widowControl/>
              <w:suppressLineNumbers w:val="0"/>
              <w:spacing w:before="0" w:beforeAutospacing="0" w:after="0" w:afterAutospacing="0" w:line="300" w:lineRule="auto"/>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P页</w:t>
            </w:r>
          </w:p>
        </w:tc>
      </w:tr>
      <w:tr w14:paraId="2FC97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40" w:type="dxa"/>
            <w:noWrap/>
            <w:vAlign w:val="center"/>
          </w:tcPr>
          <w:p w14:paraId="21DD6B73">
            <w:pPr>
              <w:keepNext w:val="0"/>
              <w:keepLines w:val="0"/>
              <w:widowControl/>
              <w:suppressLineNumbers w:val="0"/>
              <w:adjustRightInd w:val="0"/>
              <w:snapToGrid w:val="0"/>
              <w:spacing w:before="0" w:beforeAutospacing="0" w:after="0" w:afterAutospacing="0" w:line="300" w:lineRule="auto"/>
              <w:ind w:left="0" w:right="0"/>
              <w:jc w:val="center"/>
              <w:rPr>
                <w:rFonts w:hint="eastAsia" w:ascii="仿宋" w:hAnsi="仿宋" w:eastAsia="仿宋" w:cs="仿宋"/>
                <w:color w:val="auto"/>
                <w:sz w:val="24"/>
                <w:szCs w:val="24"/>
                <w:highlight w:val="none"/>
              </w:rPr>
            </w:pPr>
          </w:p>
        </w:tc>
        <w:tc>
          <w:tcPr>
            <w:tcW w:w="1770" w:type="dxa"/>
            <w:noWrap/>
            <w:vAlign w:val="center"/>
          </w:tcPr>
          <w:p w14:paraId="00CD8FF9">
            <w:pPr>
              <w:keepNext w:val="0"/>
              <w:keepLines w:val="0"/>
              <w:suppressLineNumbers w:val="0"/>
              <w:spacing w:before="0" w:beforeAutospacing="0" w:after="0" w:afterAutospacing="0" w:line="300" w:lineRule="auto"/>
              <w:ind w:left="0" w:right="0"/>
              <w:jc w:val="center"/>
              <w:rPr>
                <w:rFonts w:hint="eastAsia" w:ascii="仿宋" w:hAnsi="仿宋" w:eastAsia="仿宋" w:cs="仿宋"/>
                <w:color w:val="auto"/>
                <w:kern w:val="0"/>
                <w:sz w:val="24"/>
                <w:szCs w:val="24"/>
                <w:highlight w:val="none"/>
              </w:rPr>
            </w:pPr>
          </w:p>
        </w:tc>
        <w:tc>
          <w:tcPr>
            <w:tcW w:w="5657" w:type="dxa"/>
            <w:noWrap/>
            <w:vAlign w:val="center"/>
          </w:tcPr>
          <w:p w14:paraId="6A2B4E59">
            <w:pPr>
              <w:keepNext w:val="0"/>
              <w:keepLines w:val="0"/>
              <w:suppressLineNumbers w:val="0"/>
              <w:spacing w:before="0" w:beforeAutospacing="0" w:after="0" w:afterAutospacing="0" w:line="300" w:lineRule="auto"/>
              <w:ind w:left="0" w:right="0"/>
              <w:jc w:val="left"/>
              <w:rPr>
                <w:rFonts w:hint="eastAsia" w:ascii="仿宋" w:hAnsi="仿宋" w:eastAsia="仿宋" w:cs="仿宋"/>
                <w:color w:val="auto"/>
                <w:kern w:val="0"/>
                <w:sz w:val="24"/>
                <w:szCs w:val="24"/>
                <w:highlight w:val="none"/>
              </w:rPr>
            </w:pPr>
          </w:p>
        </w:tc>
        <w:tc>
          <w:tcPr>
            <w:tcW w:w="922" w:type="dxa"/>
            <w:noWrap/>
            <w:vAlign w:val="center"/>
          </w:tcPr>
          <w:p w14:paraId="0040FC68">
            <w:pPr>
              <w:keepNext w:val="0"/>
              <w:keepLines w:val="0"/>
              <w:widowControl/>
              <w:suppressLineNumbers w:val="0"/>
              <w:adjustRightInd w:val="0"/>
              <w:snapToGrid w:val="0"/>
              <w:spacing w:before="0" w:beforeAutospacing="0" w:after="0" w:afterAutospacing="0" w:line="300" w:lineRule="auto"/>
              <w:ind w:left="0" w:right="0"/>
              <w:jc w:val="center"/>
              <w:rPr>
                <w:rFonts w:hint="eastAsia" w:ascii="仿宋" w:hAnsi="仿宋" w:eastAsia="仿宋" w:cs="仿宋"/>
                <w:color w:val="auto"/>
                <w:kern w:val="0"/>
                <w:sz w:val="24"/>
                <w:szCs w:val="24"/>
                <w:highlight w:val="none"/>
              </w:rPr>
            </w:pPr>
          </w:p>
        </w:tc>
        <w:tc>
          <w:tcPr>
            <w:tcW w:w="1048" w:type="dxa"/>
            <w:noWrap/>
            <w:vAlign w:val="center"/>
          </w:tcPr>
          <w:p w14:paraId="44AB9183">
            <w:pPr>
              <w:keepNext w:val="0"/>
              <w:keepLines w:val="0"/>
              <w:widowControl/>
              <w:suppressLineNumbers w:val="0"/>
              <w:spacing w:before="0" w:beforeAutospacing="0" w:after="0" w:afterAutospacing="0" w:line="300" w:lineRule="auto"/>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P页</w:t>
            </w:r>
          </w:p>
        </w:tc>
      </w:tr>
    </w:tbl>
    <w:p w14:paraId="3E492D3D">
      <w:pPr>
        <w:widowControl/>
        <w:tabs>
          <w:tab w:val="left" w:pos="5580"/>
        </w:tabs>
        <w:spacing w:line="360" w:lineRule="auto"/>
        <w:ind w:firstLine="482" w:firstLineChars="200"/>
        <w:rPr>
          <w:rFonts w:hint="eastAsia" w:ascii="仿宋" w:hAnsi="仿宋" w:eastAsia="仿宋" w:cs="仿宋"/>
          <w:b/>
          <w:color w:val="auto"/>
          <w:kern w:val="0"/>
          <w:sz w:val="24"/>
          <w:szCs w:val="24"/>
          <w:highlight w:val="none"/>
        </w:rPr>
      </w:pPr>
    </w:p>
    <w:p w14:paraId="273D2E78">
      <w:pPr>
        <w:pStyle w:val="3"/>
        <w:widowControl/>
        <w:spacing w:before="120" w:after="120" w:line="240" w:lineRule="auto"/>
        <w:jc w:val="center"/>
        <w:rPr>
          <w:rFonts w:hint="eastAsia" w:ascii="仿宋" w:hAnsi="仿宋" w:eastAsia="仿宋" w:cs="仿宋"/>
          <w:color w:val="auto"/>
          <w:kern w:val="0"/>
          <w:sz w:val="28"/>
          <w:szCs w:val="28"/>
          <w:highlight w:val="none"/>
        </w:rPr>
      </w:pPr>
      <w:r>
        <w:rPr>
          <w:rStyle w:val="35"/>
          <w:rFonts w:hint="eastAsia" w:ascii="仿宋" w:hAnsi="仿宋" w:eastAsia="仿宋" w:cs="仿宋"/>
          <w:b/>
          <w:bCs w:val="0"/>
          <w:color w:val="auto"/>
          <w:sz w:val="28"/>
          <w:szCs w:val="30"/>
          <w:highlight w:val="none"/>
        </w:rPr>
        <w:br w:type="page"/>
      </w:r>
      <w:r>
        <w:rPr>
          <w:rStyle w:val="35"/>
          <w:rFonts w:hint="eastAsia" w:ascii="仿宋" w:hAnsi="仿宋" w:eastAsia="仿宋" w:cs="仿宋"/>
          <w:b/>
          <w:bCs w:val="0"/>
          <w:color w:val="auto"/>
          <w:sz w:val="28"/>
          <w:szCs w:val="30"/>
          <w:highlight w:val="none"/>
          <w:lang w:val="en-US"/>
        </w:rPr>
        <w:t>八</w:t>
      </w:r>
      <w:r>
        <w:rPr>
          <w:rStyle w:val="35"/>
          <w:rFonts w:hint="eastAsia" w:ascii="仿宋" w:hAnsi="仿宋" w:eastAsia="仿宋" w:cs="仿宋"/>
          <w:b/>
          <w:bCs w:val="0"/>
          <w:color w:val="auto"/>
          <w:sz w:val="28"/>
          <w:szCs w:val="30"/>
          <w:highlight w:val="none"/>
        </w:rPr>
        <w:t>、</w:t>
      </w:r>
      <w:r>
        <w:rPr>
          <w:rFonts w:hint="eastAsia" w:ascii="仿宋" w:hAnsi="仿宋" w:eastAsia="仿宋" w:cs="仿宋"/>
          <w:color w:val="auto"/>
          <w:kern w:val="0"/>
          <w:sz w:val="28"/>
          <w:szCs w:val="28"/>
          <w:highlight w:val="none"/>
        </w:rPr>
        <w:t>技术规格响应/偏离表</w:t>
      </w:r>
    </w:p>
    <w:p w14:paraId="4DABEF03">
      <w:pPr>
        <w:jc w:val="center"/>
        <w:rPr>
          <w:rFonts w:hint="eastAsia" w:ascii="仿宋" w:hAnsi="仿宋" w:eastAsia="仿宋" w:cs="仿宋"/>
          <w:b/>
          <w:bCs/>
          <w:color w:val="auto"/>
          <w:sz w:val="28"/>
          <w:highlight w:val="none"/>
        </w:rPr>
      </w:pPr>
    </w:p>
    <w:p w14:paraId="281F4A43">
      <w:pPr>
        <w:widowControl/>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项目编号：</w:t>
      </w:r>
    </w:p>
    <w:tbl>
      <w:tblPr>
        <w:tblStyle w:val="19"/>
        <w:tblW w:w="8760" w:type="dxa"/>
        <w:tblInd w:w="0" w:type="dxa"/>
        <w:tblLayout w:type="fixed"/>
        <w:tblCellMar>
          <w:top w:w="0" w:type="dxa"/>
          <w:left w:w="108" w:type="dxa"/>
          <w:bottom w:w="0" w:type="dxa"/>
          <w:right w:w="108" w:type="dxa"/>
        </w:tblCellMar>
      </w:tblPr>
      <w:tblGrid>
        <w:gridCol w:w="531"/>
        <w:gridCol w:w="1500"/>
        <w:gridCol w:w="1963"/>
        <w:gridCol w:w="2162"/>
        <w:gridCol w:w="1525"/>
        <w:gridCol w:w="1079"/>
      </w:tblGrid>
      <w:tr w14:paraId="1E393C34">
        <w:tblPrEx>
          <w:tblCellMar>
            <w:top w:w="0" w:type="dxa"/>
            <w:left w:w="108" w:type="dxa"/>
            <w:bottom w:w="0" w:type="dxa"/>
            <w:right w:w="108" w:type="dxa"/>
          </w:tblCellMar>
        </w:tblPrEx>
        <w:trPr>
          <w:trHeight w:val="340" w:hRule="atLeast"/>
        </w:trPr>
        <w:tc>
          <w:tcPr>
            <w:tcW w:w="531" w:type="dxa"/>
            <w:tcBorders>
              <w:top w:val="single" w:color="000000" w:sz="4" w:space="0"/>
              <w:left w:val="single" w:color="000000" w:sz="4" w:space="0"/>
              <w:bottom w:val="single" w:color="auto" w:sz="4" w:space="0"/>
              <w:right w:val="single" w:color="000000" w:sz="4" w:space="0"/>
            </w:tcBorders>
            <w:noWrap/>
            <w:vAlign w:val="center"/>
          </w:tcPr>
          <w:p w14:paraId="7FEC7538">
            <w:pPr>
              <w:keepNext w:val="0"/>
              <w:keepLines w:val="0"/>
              <w:widowControl/>
              <w:suppressLineNumbers w:val="0"/>
              <w:spacing w:before="0" w:beforeAutospacing="0" w:after="0" w:afterAutospacing="0"/>
              <w:ind w:left="0" w:right="0"/>
              <w:jc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序号</w:t>
            </w:r>
          </w:p>
        </w:tc>
        <w:tc>
          <w:tcPr>
            <w:tcW w:w="1500" w:type="dxa"/>
            <w:tcBorders>
              <w:top w:val="single" w:color="000000" w:sz="4" w:space="0"/>
              <w:left w:val="nil"/>
              <w:bottom w:val="single" w:color="auto" w:sz="4" w:space="0"/>
              <w:right w:val="single" w:color="000000" w:sz="4" w:space="0"/>
            </w:tcBorders>
            <w:noWrap/>
            <w:vAlign w:val="center"/>
          </w:tcPr>
          <w:p w14:paraId="1E162BF9">
            <w:pPr>
              <w:keepNext w:val="0"/>
              <w:keepLines w:val="0"/>
              <w:widowControl/>
              <w:suppressLineNumbers w:val="0"/>
              <w:spacing w:before="0" w:beforeAutospacing="0" w:after="0" w:afterAutospacing="0"/>
              <w:ind w:left="0" w:right="0"/>
              <w:jc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服务项目</w:t>
            </w:r>
          </w:p>
        </w:tc>
        <w:tc>
          <w:tcPr>
            <w:tcW w:w="1963" w:type="dxa"/>
            <w:tcBorders>
              <w:top w:val="single" w:color="000000" w:sz="4" w:space="0"/>
              <w:left w:val="nil"/>
              <w:bottom w:val="single" w:color="000000" w:sz="4" w:space="0"/>
              <w:right w:val="single" w:color="000000" w:sz="4" w:space="0"/>
            </w:tcBorders>
            <w:noWrap/>
            <w:vAlign w:val="center"/>
          </w:tcPr>
          <w:p w14:paraId="26E5600F">
            <w:pPr>
              <w:keepNext w:val="0"/>
              <w:keepLines w:val="0"/>
              <w:widowControl/>
              <w:suppressLineNumbers w:val="0"/>
              <w:spacing w:before="0" w:beforeAutospacing="0" w:after="0" w:afterAutospacing="0"/>
              <w:ind w:left="0" w:right="0"/>
              <w:jc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服务要求</w:t>
            </w:r>
          </w:p>
        </w:tc>
        <w:tc>
          <w:tcPr>
            <w:tcW w:w="2162" w:type="dxa"/>
            <w:tcBorders>
              <w:top w:val="single" w:color="000000" w:sz="4" w:space="0"/>
              <w:left w:val="nil"/>
              <w:bottom w:val="single" w:color="000000" w:sz="4" w:space="0"/>
              <w:right w:val="single" w:color="000000" w:sz="4" w:space="0"/>
            </w:tcBorders>
            <w:noWrap/>
            <w:vAlign w:val="center"/>
          </w:tcPr>
          <w:p w14:paraId="30B09971">
            <w:pPr>
              <w:keepNext w:val="0"/>
              <w:keepLines w:val="0"/>
              <w:widowControl/>
              <w:suppressLineNumbers w:val="0"/>
              <w:spacing w:before="0" w:beforeAutospacing="0" w:after="0" w:afterAutospacing="0"/>
              <w:ind w:left="0" w:right="0"/>
              <w:jc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供应商响应</w:t>
            </w:r>
          </w:p>
        </w:tc>
        <w:tc>
          <w:tcPr>
            <w:tcW w:w="1525" w:type="dxa"/>
            <w:tcBorders>
              <w:top w:val="single" w:color="000000" w:sz="4" w:space="0"/>
              <w:left w:val="nil"/>
              <w:bottom w:val="single" w:color="000000" w:sz="4" w:space="0"/>
              <w:right w:val="single" w:color="000000" w:sz="4" w:space="0"/>
            </w:tcBorders>
            <w:noWrap/>
            <w:vAlign w:val="center"/>
          </w:tcPr>
          <w:p w14:paraId="271C1978">
            <w:pPr>
              <w:keepNext w:val="0"/>
              <w:keepLines w:val="0"/>
              <w:widowControl/>
              <w:suppressLineNumbers w:val="0"/>
              <w:spacing w:before="0" w:beforeAutospacing="0" w:after="0" w:afterAutospacing="0"/>
              <w:ind w:left="0" w:right="0"/>
              <w:jc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偏离说明</w:t>
            </w:r>
          </w:p>
        </w:tc>
        <w:tc>
          <w:tcPr>
            <w:tcW w:w="1079" w:type="dxa"/>
            <w:tcBorders>
              <w:top w:val="single" w:color="000000" w:sz="4" w:space="0"/>
              <w:left w:val="nil"/>
              <w:bottom w:val="single" w:color="000000" w:sz="4" w:space="0"/>
              <w:right w:val="single" w:color="000000" w:sz="4" w:space="0"/>
            </w:tcBorders>
            <w:noWrap/>
            <w:vAlign w:val="top"/>
          </w:tcPr>
          <w:p w14:paraId="3EA64E34">
            <w:pPr>
              <w:keepNext w:val="0"/>
              <w:keepLines w:val="0"/>
              <w:widowControl/>
              <w:suppressLineNumbers w:val="0"/>
              <w:spacing w:before="0" w:beforeAutospacing="0" w:after="0" w:afterAutospacing="0"/>
              <w:ind w:left="0" w:right="0"/>
              <w:jc w:val="center"/>
              <w:rPr>
                <w:rFonts w:hint="eastAsia" w:ascii="仿宋" w:hAnsi="仿宋" w:eastAsia="仿宋" w:cs="仿宋"/>
                <w:bCs/>
                <w:color w:val="auto"/>
                <w:kern w:val="0"/>
                <w:sz w:val="24"/>
                <w:szCs w:val="24"/>
                <w:highlight w:val="none"/>
              </w:rPr>
            </w:pPr>
            <w:r>
              <w:rPr>
                <w:rFonts w:hint="eastAsia" w:ascii="仿宋" w:hAnsi="仿宋" w:eastAsia="仿宋" w:cs="仿宋"/>
                <w:bCs/>
                <w:color w:val="auto"/>
                <w:kern w:val="0"/>
                <w:sz w:val="24"/>
                <w:szCs w:val="24"/>
                <w:highlight w:val="none"/>
              </w:rPr>
              <w:t>备注</w:t>
            </w:r>
          </w:p>
        </w:tc>
      </w:tr>
      <w:tr w14:paraId="580CF30F">
        <w:tblPrEx>
          <w:tblCellMar>
            <w:top w:w="0" w:type="dxa"/>
            <w:left w:w="108" w:type="dxa"/>
            <w:bottom w:w="0" w:type="dxa"/>
            <w:right w:w="108" w:type="dxa"/>
          </w:tblCellMar>
        </w:tblPrEx>
        <w:trPr>
          <w:trHeight w:val="340" w:hRule="atLeast"/>
        </w:trPr>
        <w:tc>
          <w:tcPr>
            <w:tcW w:w="531" w:type="dxa"/>
            <w:vMerge w:val="restart"/>
            <w:tcBorders>
              <w:top w:val="single" w:color="auto" w:sz="4" w:space="0"/>
              <w:left w:val="single" w:color="000000" w:sz="4" w:space="0"/>
              <w:bottom w:val="single" w:color="000000" w:sz="4" w:space="0"/>
              <w:right w:val="single" w:color="000000" w:sz="4" w:space="0"/>
            </w:tcBorders>
            <w:noWrap/>
            <w:vAlign w:val="center"/>
          </w:tcPr>
          <w:p w14:paraId="2F079755">
            <w:pPr>
              <w:keepNext w:val="0"/>
              <w:keepLines w:val="0"/>
              <w:widowControl/>
              <w:suppressLineNumbers w:val="0"/>
              <w:spacing w:before="0" w:beforeAutospacing="0" w:after="0" w:afterAutospacing="0"/>
              <w:ind w:left="0" w:right="0"/>
              <w:rPr>
                <w:rFonts w:hint="eastAsia" w:ascii="仿宋" w:hAnsi="仿宋" w:eastAsia="仿宋" w:cs="仿宋"/>
                <w:bCs/>
                <w:color w:val="auto"/>
                <w:kern w:val="0"/>
                <w:sz w:val="24"/>
                <w:szCs w:val="24"/>
                <w:highlight w:val="none"/>
              </w:rPr>
            </w:pPr>
          </w:p>
        </w:tc>
        <w:tc>
          <w:tcPr>
            <w:tcW w:w="1500" w:type="dxa"/>
            <w:vMerge w:val="restart"/>
            <w:tcBorders>
              <w:top w:val="single" w:color="auto" w:sz="4" w:space="0"/>
              <w:left w:val="nil"/>
              <w:bottom w:val="single" w:color="000000" w:sz="4" w:space="0"/>
              <w:right w:val="single" w:color="000000" w:sz="4" w:space="0"/>
            </w:tcBorders>
            <w:noWrap/>
            <w:vAlign w:val="center"/>
          </w:tcPr>
          <w:p w14:paraId="444E997D">
            <w:pPr>
              <w:keepNext w:val="0"/>
              <w:keepLines w:val="0"/>
              <w:widowControl/>
              <w:suppressLineNumbers w:val="0"/>
              <w:spacing w:before="0" w:beforeAutospacing="0" w:after="0" w:afterAutospacing="0"/>
              <w:ind w:left="0" w:right="0"/>
              <w:rPr>
                <w:rFonts w:hint="eastAsia" w:ascii="仿宋" w:hAnsi="仿宋" w:eastAsia="仿宋" w:cs="仿宋"/>
                <w:color w:val="auto"/>
                <w:kern w:val="0"/>
                <w:sz w:val="24"/>
                <w:szCs w:val="24"/>
                <w:highlight w:val="none"/>
              </w:rPr>
            </w:pPr>
          </w:p>
        </w:tc>
        <w:tc>
          <w:tcPr>
            <w:tcW w:w="1963" w:type="dxa"/>
            <w:tcBorders>
              <w:top w:val="single" w:color="000000" w:sz="4" w:space="0"/>
              <w:left w:val="nil"/>
              <w:bottom w:val="single" w:color="000000" w:sz="4" w:space="0"/>
              <w:right w:val="single" w:color="000000" w:sz="4" w:space="0"/>
            </w:tcBorders>
            <w:noWrap/>
            <w:vAlign w:val="center"/>
          </w:tcPr>
          <w:p w14:paraId="1B402845">
            <w:pPr>
              <w:keepNext w:val="0"/>
              <w:keepLines w:val="0"/>
              <w:widowControl/>
              <w:suppressLineNumbers w:val="0"/>
              <w:spacing w:before="0" w:beforeAutospacing="0" w:after="0" w:afterAutospacing="0"/>
              <w:ind w:left="0" w:right="0"/>
              <w:rPr>
                <w:rFonts w:hint="eastAsia" w:ascii="仿宋" w:hAnsi="仿宋" w:eastAsia="仿宋" w:cs="仿宋"/>
                <w:color w:val="auto"/>
                <w:kern w:val="0"/>
                <w:sz w:val="24"/>
                <w:szCs w:val="24"/>
                <w:highlight w:val="none"/>
              </w:rPr>
            </w:pPr>
          </w:p>
        </w:tc>
        <w:tc>
          <w:tcPr>
            <w:tcW w:w="2162" w:type="dxa"/>
            <w:tcBorders>
              <w:top w:val="single" w:color="000000" w:sz="4" w:space="0"/>
              <w:left w:val="nil"/>
              <w:bottom w:val="single" w:color="000000" w:sz="4" w:space="0"/>
              <w:right w:val="single" w:color="000000" w:sz="4" w:space="0"/>
            </w:tcBorders>
            <w:noWrap/>
            <w:vAlign w:val="center"/>
          </w:tcPr>
          <w:p w14:paraId="62F25FF7">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1525" w:type="dxa"/>
            <w:tcBorders>
              <w:top w:val="single" w:color="000000" w:sz="4" w:space="0"/>
              <w:left w:val="nil"/>
              <w:bottom w:val="single" w:color="000000" w:sz="4" w:space="0"/>
              <w:right w:val="single" w:color="000000" w:sz="4" w:space="0"/>
            </w:tcBorders>
            <w:noWrap/>
            <w:vAlign w:val="top"/>
          </w:tcPr>
          <w:p w14:paraId="599C647E">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□无偏离</w:t>
            </w:r>
          </w:p>
          <w:p w14:paraId="292EFDD8">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□正偏离</w:t>
            </w:r>
          </w:p>
          <w:p w14:paraId="13729F43">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□负偏离</w:t>
            </w:r>
          </w:p>
        </w:tc>
        <w:tc>
          <w:tcPr>
            <w:tcW w:w="1079" w:type="dxa"/>
            <w:tcBorders>
              <w:top w:val="single" w:color="000000" w:sz="4" w:space="0"/>
              <w:left w:val="nil"/>
              <w:bottom w:val="single" w:color="000000" w:sz="4" w:space="0"/>
              <w:right w:val="single" w:color="000000" w:sz="4" w:space="0"/>
            </w:tcBorders>
            <w:noWrap/>
            <w:vAlign w:val="top"/>
          </w:tcPr>
          <w:p w14:paraId="7D847256">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r>
      <w:tr w14:paraId="2E14E279">
        <w:tblPrEx>
          <w:tblCellMar>
            <w:top w:w="0" w:type="dxa"/>
            <w:left w:w="108" w:type="dxa"/>
            <w:bottom w:w="0" w:type="dxa"/>
            <w:right w:w="108" w:type="dxa"/>
          </w:tblCellMar>
        </w:tblPrEx>
        <w:trPr>
          <w:trHeight w:val="340" w:hRule="atLeast"/>
        </w:trPr>
        <w:tc>
          <w:tcPr>
            <w:tcW w:w="531" w:type="dxa"/>
            <w:vMerge w:val="continue"/>
            <w:tcBorders>
              <w:top w:val="nil"/>
              <w:left w:val="single" w:color="000000" w:sz="4" w:space="0"/>
              <w:bottom w:val="single" w:color="000000" w:sz="4" w:space="0"/>
              <w:right w:val="single" w:color="000000" w:sz="4" w:space="0"/>
            </w:tcBorders>
            <w:noWrap/>
            <w:vAlign w:val="center"/>
          </w:tcPr>
          <w:p w14:paraId="4BCA7BDC">
            <w:pPr>
              <w:keepNext w:val="0"/>
              <w:keepLines w:val="0"/>
              <w:widowControl/>
              <w:suppressLineNumbers w:val="0"/>
              <w:spacing w:before="0" w:beforeAutospacing="0" w:after="0" w:afterAutospacing="0"/>
              <w:ind w:left="0" w:right="0"/>
              <w:jc w:val="left"/>
              <w:rPr>
                <w:rFonts w:hint="eastAsia" w:ascii="仿宋" w:hAnsi="仿宋" w:eastAsia="仿宋" w:cs="仿宋"/>
                <w:bCs/>
                <w:color w:val="auto"/>
                <w:kern w:val="0"/>
                <w:sz w:val="24"/>
                <w:szCs w:val="24"/>
                <w:highlight w:val="none"/>
              </w:rPr>
            </w:pPr>
          </w:p>
        </w:tc>
        <w:tc>
          <w:tcPr>
            <w:tcW w:w="1500" w:type="dxa"/>
            <w:vMerge w:val="continue"/>
            <w:tcBorders>
              <w:top w:val="nil"/>
              <w:left w:val="nil"/>
              <w:bottom w:val="single" w:color="000000" w:sz="4" w:space="0"/>
              <w:right w:val="single" w:color="000000" w:sz="4" w:space="0"/>
            </w:tcBorders>
            <w:noWrap/>
            <w:vAlign w:val="center"/>
          </w:tcPr>
          <w:p w14:paraId="68089D45">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24"/>
                <w:szCs w:val="24"/>
                <w:highlight w:val="none"/>
              </w:rPr>
            </w:pPr>
          </w:p>
        </w:tc>
        <w:tc>
          <w:tcPr>
            <w:tcW w:w="1963" w:type="dxa"/>
            <w:tcBorders>
              <w:top w:val="single" w:color="000000" w:sz="4" w:space="0"/>
              <w:left w:val="nil"/>
              <w:bottom w:val="single" w:color="000000" w:sz="4" w:space="0"/>
              <w:right w:val="single" w:color="000000" w:sz="4" w:space="0"/>
            </w:tcBorders>
            <w:noWrap/>
            <w:vAlign w:val="center"/>
          </w:tcPr>
          <w:p w14:paraId="499663CA">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24"/>
                <w:szCs w:val="24"/>
                <w:highlight w:val="none"/>
              </w:rPr>
            </w:pPr>
          </w:p>
        </w:tc>
        <w:tc>
          <w:tcPr>
            <w:tcW w:w="2162" w:type="dxa"/>
            <w:tcBorders>
              <w:top w:val="single" w:color="000000" w:sz="4" w:space="0"/>
              <w:left w:val="nil"/>
              <w:bottom w:val="single" w:color="000000" w:sz="4" w:space="0"/>
              <w:right w:val="single" w:color="000000" w:sz="4" w:space="0"/>
            </w:tcBorders>
            <w:noWrap/>
            <w:vAlign w:val="top"/>
          </w:tcPr>
          <w:p w14:paraId="1579941C">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1525" w:type="dxa"/>
            <w:tcBorders>
              <w:top w:val="single" w:color="000000" w:sz="4" w:space="0"/>
              <w:left w:val="nil"/>
              <w:bottom w:val="single" w:color="000000" w:sz="4" w:space="0"/>
              <w:right w:val="single" w:color="000000" w:sz="4" w:space="0"/>
            </w:tcBorders>
            <w:noWrap/>
            <w:vAlign w:val="top"/>
          </w:tcPr>
          <w:p w14:paraId="775AC014">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1079" w:type="dxa"/>
            <w:tcBorders>
              <w:top w:val="single" w:color="000000" w:sz="4" w:space="0"/>
              <w:left w:val="nil"/>
              <w:bottom w:val="single" w:color="000000" w:sz="4" w:space="0"/>
              <w:right w:val="single" w:color="000000" w:sz="4" w:space="0"/>
            </w:tcBorders>
            <w:noWrap/>
            <w:vAlign w:val="top"/>
          </w:tcPr>
          <w:p w14:paraId="48DEFF05">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r>
      <w:tr w14:paraId="4C737781">
        <w:tblPrEx>
          <w:tblCellMar>
            <w:top w:w="0" w:type="dxa"/>
            <w:left w:w="108" w:type="dxa"/>
            <w:bottom w:w="0" w:type="dxa"/>
            <w:right w:w="108" w:type="dxa"/>
          </w:tblCellMar>
        </w:tblPrEx>
        <w:trPr>
          <w:trHeight w:val="340" w:hRule="atLeast"/>
        </w:trPr>
        <w:tc>
          <w:tcPr>
            <w:tcW w:w="531" w:type="dxa"/>
            <w:vMerge w:val="continue"/>
            <w:tcBorders>
              <w:top w:val="nil"/>
              <w:left w:val="single" w:color="000000" w:sz="4" w:space="0"/>
              <w:bottom w:val="single" w:color="auto" w:sz="4" w:space="0"/>
              <w:right w:val="single" w:color="000000" w:sz="4" w:space="0"/>
            </w:tcBorders>
            <w:noWrap/>
            <w:vAlign w:val="center"/>
          </w:tcPr>
          <w:p w14:paraId="02E64886">
            <w:pPr>
              <w:keepNext w:val="0"/>
              <w:keepLines w:val="0"/>
              <w:widowControl/>
              <w:suppressLineNumbers w:val="0"/>
              <w:spacing w:before="0" w:beforeAutospacing="0" w:after="0" w:afterAutospacing="0"/>
              <w:ind w:left="0" w:right="0"/>
              <w:jc w:val="left"/>
              <w:rPr>
                <w:rFonts w:hint="eastAsia" w:ascii="仿宋" w:hAnsi="仿宋" w:eastAsia="仿宋" w:cs="仿宋"/>
                <w:bCs/>
                <w:color w:val="auto"/>
                <w:kern w:val="0"/>
                <w:sz w:val="24"/>
                <w:szCs w:val="24"/>
                <w:highlight w:val="none"/>
              </w:rPr>
            </w:pPr>
          </w:p>
        </w:tc>
        <w:tc>
          <w:tcPr>
            <w:tcW w:w="1500" w:type="dxa"/>
            <w:vMerge w:val="continue"/>
            <w:tcBorders>
              <w:top w:val="nil"/>
              <w:left w:val="nil"/>
              <w:bottom w:val="single" w:color="auto" w:sz="4" w:space="0"/>
              <w:right w:val="single" w:color="000000" w:sz="4" w:space="0"/>
            </w:tcBorders>
            <w:noWrap/>
            <w:vAlign w:val="center"/>
          </w:tcPr>
          <w:p w14:paraId="147CAE8D">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24"/>
                <w:szCs w:val="24"/>
                <w:highlight w:val="none"/>
              </w:rPr>
            </w:pPr>
          </w:p>
        </w:tc>
        <w:tc>
          <w:tcPr>
            <w:tcW w:w="1963" w:type="dxa"/>
            <w:tcBorders>
              <w:top w:val="single" w:color="000000" w:sz="4" w:space="0"/>
              <w:left w:val="nil"/>
              <w:bottom w:val="single" w:color="000000" w:sz="4" w:space="0"/>
              <w:right w:val="single" w:color="000000" w:sz="4" w:space="0"/>
            </w:tcBorders>
            <w:noWrap/>
            <w:vAlign w:val="center"/>
          </w:tcPr>
          <w:p w14:paraId="46B9A370">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24"/>
                <w:szCs w:val="24"/>
                <w:highlight w:val="none"/>
              </w:rPr>
            </w:pPr>
          </w:p>
        </w:tc>
        <w:tc>
          <w:tcPr>
            <w:tcW w:w="2162" w:type="dxa"/>
            <w:tcBorders>
              <w:top w:val="single" w:color="000000" w:sz="4" w:space="0"/>
              <w:left w:val="nil"/>
              <w:bottom w:val="single" w:color="000000" w:sz="4" w:space="0"/>
              <w:right w:val="single" w:color="000000" w:sz="4" w:space="0"/>
            </w:tcBorders>
            <w:noWrap/>
            <w:vAlign w:val="top"/>
          </w:tcPr>
          <w:p w14:paraId="6FDFBE08">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1525" w:type="dxa"/>
            <w:tcBorders>
              <w:top w:val="single" w:color="000000" w:sz="4" w:space="0"/>
              <w:left w:val="nil"/>
              <w:bottom w:val="single" w:color="000000" w:sz="4" w:space="0"/>
              <w:right w:val="single" w:color="000000" w:sz="4" w:space="0"/>
            </w:tcBorders>
            <w:noWrap/>
            <w:vAlign w:val="top"/>
          </w:tcPr>
          <w:p w14:paraId="34C9D4B1">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1079" w:type="dxa"/>
            <w:tcBorders>
              <w:top w:val="single" w:color="000000" w:sz="4" w:space="0"/>
              <w:left w:val="nil"/>
              <w:bottom w:val="single" w:color="000000" w:sz="4" w:space="0"/>
              <w:right w:val="single" w:color="000000" w:sz="4" w:space="0"/>
            </w:tcBorders>
            <w:noWrap/>
            <w:vAlign w:val="top"/>
          </w:tcPr>
          <w:p w14:paraId="1EE00BEF">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r>
      <w:tr w14:paraId="78F2E7FB">
        <w:tblPrEx>
          <w:tblCellMar>
            <w:top w:w="0" w:type="dxa"/>
            <w:left w:w="108" w:type="dxa"/>
            <w:bottom w:w="0" w:type="dxa"/>
            <w:right w:w="108" w:type="dxa"/>
          </w:tblCellMar>
        </w:tblPrEx>
        <w:trPr>
          <w:trHeight w:val="340" w:hRule="atLeast"/>
        </w:trPr>
        <w:tc>
          <w:tcPr>
            <w:tcW w:w="531" w:type="dxa"/>
            <w:vMerge w:val="restart"/>
            <w:tcBorders>
              <w:top w:val="single" w:color="auto" w:sz="4" w:space="0"/>
              <w:left w:val="single" w:color="000000" w:sz="4" w:space="0"/>
              <w:bottom w:val="single" w:color="000000" w:sz="4" w:space="0"/>
              <w:right w:val="single" w:color="000000" w:sz="4" w:space="0"/>
            </w:tcBorders>
            <w:noWrap/>
            <w:vAlign w:val="center"/>
          </w:tcPr>
          <w:p w14:paraId="01EACC13">
            <w:pPr>
              <w:keepNext w:val="0"/>
              <w:keepLines w:val="0"/>
              <w:widowControl/>
              <w:suppressLineNumbers w:val="0"/>
              <w:spacing w:before="0" w:beforeAutospacing="0" w:after="0" w:afterAutospacing="0"/>
              <w:ind w:left="0" w:right="0"/>
              <w:jc w:val="left"/>
              <w:rPr>
                <w:rFonts w:hint="eastAsia" w:ascii="仿宋" w:hAnsi="仿宋" w:eastAsia="仿宋" w:cs="仿宋"/>
                <w:bCs/>
                <w:color w:val="auto"/>
                <w:kern w:val="0"/>
                <w:sz w:val="24"/>
                <w:szCs w:val="24"/>
                <w:highlight w:val="none"/>
              </w:rPr>
            </w:pPr>
          </w:p>
        </w:tc>
        <w:tc>
          <w:tcPr>
            <w:tcW w:w="1500" w:type="dxa"/>
            <w:vMerge w:val="restart"/>
            <w:tcBorders>
              <w:top w:val="single" w:color="auto" w:sz="4" w:space="0"/>
              <w:left w:val="nil"/>
              <w:bottom w:val="single" w:color="000000" w:sz="4" w:space="0"/>
              <w:right w:val="single" w:color="000000" w:sz="4" w:space="0"/>
            </w:tcBorders>
            <w:noWrap/>
            <w:vAlign w:val="center"/>
          </w:tcPr>
          <w:p w14:paraId="104E91DB">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24"/>
                <w:szCs w:val="24"/>
                <w:highlight w:val="none"/>
              </w:rPr>
            </w:pPr>
          </w:p>
        </w:tc>
        <w:tc>
          <w:tcPr>
            <w:tcW w:w="1963" w:type="dxa"/>
            <w:tcBorders>
              <w:top w:val="single" w:color="000000" w:sz="4" w:space="0"/>
              <w:left w:val="nil"/>
              <w:bottom w:val="single" w:color="000000" w:sz="4" w:space="0"/>
              <w:right w:val="single" w:color="000000" w:sz="4" w:space="0"/>
            </w:tcBorders>
            <w:noWrap/>
            <w:vAlign w:val="center"/>
          </w:tcPr>
          <w:p w14:paraId="78F3439C">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24"/>
                <w:szCs w:val="24"/>
                <w:highlight w:val="none"/>
              </w:rPr>
            </w:pPr>
          </w:p>
        </w:tc>
        <w:tc>
          <w:tcPr>
            <w:tcW w:w="2162" w:type="dxa"/>
            <w:tcBorders>
              <w:top w:val="single" w:color="000000" w:sz="4" w:space="0"/>
              <w:left w:val="nil"/>
              <w:bottom w:val="single" w:color="000000" w:sz="4" w:space="0"/>
              <w:right w:val="single" w:color="000000" w:sz="4" w:space="0"/>
            </w:tcBorders>
            <w:noWrap/>
            <w:vAlign w:val="top"/>
          </w:tcPr>
          <w:p w14:paraId="0204A2BD">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1525" w:type="dxa"/>
            <w:tcBorders>
              <w:top w:val="single" w:color="000000" w:sz="4" w:space="0"/>
              <w:left w:val="nil"/>
              <w:bottom w:val="single" w:color="000000" w:sz="4" w:space="0"/>
              <w:right w:val="single" w:color="000000" w:sz="4" w:space="0"/>
            </w:tcBorders>
            <w:noWrap/>
            <w:vAlign w:val="top"/>
          </w:tcPr>
          <w:p w14:paraId="370BF18A">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1079" w:type="dxa"/>
            <w:tcBorders>
              <w:top w:val="single" w:color="000000" w:sz="4" w:space="0"/>
              <w:left w:val="nil"/>
              <w:bottom w:val="single" w:color="000000" w:sz="4" w:space="0"/>
              <w:right w:val="single" w:color="000000" w:sz="4" w:space="0"/>
            </w:tcBorders>
            <w:noWrap/>
            <w:vAlign w:val="top"/>
          </w:tcPr>
          <w:p w14:paraId="07D7FBD5">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r>
      <w:tr w14:paraId="42FD27C1">
        <w:tblPrEx>
          <w:tblCellMar>
            <w:top w:w="0" w:type="dxa"/>
            <w:left w:w="108" w:type="dxa"/>
            <w:bottom w:w="0" w:type="dxa"/>
            <w:right w:w="108" w:type="dxa"/>
          </w:tblCellMar>
        </w:tblPrEx>
        <w:trPr>
          <w:trHeight w:val="340" w:hRule="atLeast"/>
        </w:trPr>
        <w:tc>
          <w:tcPr>
            <w:tcW w:w="531" w:type="dxa"/>
            <w:vMerge w:val="continue"/>
            <w:tcBorders>
              <w:top w:val="nil"/>
              <w:left w:val="single" w:color="000000" w:sz="4" w:space="0"/>
              <w:bottom w:val="single" w:color="000000" w:sz="4" w:space="0"/>
              <w:right w:val="single" w:color="000000" w:sz="4" w:space="0"/>
            </w:tcBorders>
            <w:noWrap/>
            <w:vAlign w:val="center"/>
          </w:tcPr>
          <w:p w14:paraId="700816A8">
            <w:pPr>
              <w:keepNext w:val="0"/>
              <w:keepLines w:val="0"/>
              <w:widowControl/>
              <w:suppressLineNumbers w:val="0"/>
              <w:spacing w:before="0" w:beforeAutospacing="0" w:after="0" w:afterAutospacing="0"/>
              <w:ind w:left="0" w:right="0"/>
              <w:jc w:val="left"/>
              <w:rPr>
                <w:rFonts w:hint="eastAsia" w:ascii="仿宋" w:hAnsi="仿宋" w:eastAsia="仿宋" w:cs="仿宋"/>
                <w:bCs/>
                <w:color w:val="auto"/>
                <w:kern w:val="0"/>
                <w:sz w:val="24"/>
                <w:szCs w:val="24"/>
                <w:highlight w:val="none"/>
              </w:rPr>
            </w:pPr>
          </w:p>
        </w:tc>
        <w:tc>
          <w:tcPr>
            <w:tcW w:w="1500" w:type="dxa"/>
            <w:vMerge w:val="continue"/>
            <w:tcBorders>
              <w:top w:val="nil"/>
              <w:left w:val="nil"/>
              <w:bottom w:val="single" w:color="000000" w:sz="4" w:space="0"/>
              <w:right w:val="single" w:color="000000" w:sz="4" w:space="0"/>
            </w:tcBorders>
            <w:noWrap/>
            <w:vAlign w:val="center"/>
          </w:tcPr>
          <w:p w14:paraId="233ED2DD">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24"/>
                <w:szCs w:val="24"/>
                <w:highlight w:val="none"/>
              </w:rPr>
            </w:pPr>
          </w:p>
        </w:tc>
        <w:tc>
          <w:tcPr>
            <w:tcW w:w="1963" w:type="dxa"/>
            <w:tcBorders>
              <w:top w:val="single" w:color="000000" w:sz="4" w:space="0"/>
              <w:left w:val="nil"/>
              <w:bottom w:val="single" w:color="000000" w:sz="4" w:space="0"/>
              <w:right w:val="single" w:color="000000" w:sz="4" w:space="0"/>
            </w:tcBorders>
            <w:noWrap/>
            <w:vAlign w:val="center"/>
          </w:tcPr>
          <w:p w14:paraId="7BE4322E">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24"/>
                <w:szCs w:val="24"/>
                <w:highlight w:val="none"/>
              </w:rPr>
            </w:pPr>
          </w:p>
        </w:tc>
        <w:tc>
          <w:tcPr>
            <w:tcW w:w="2162" w:type="dxa"/>
            <w:tcBorders>
              <w:top w:val="single" w:color="000000" w:sz="4" w:space="0"/>
              <w:left w:val="nil"/>
              <w:bottom w:val="single" w:color="000000" w:sz="4" w:space="0"/>
              <w:right w:val="single" w:color="000000" w:sz="4" w:space="0"/>
            </w:tcBorders>
            <w:noWrap/>
            <w:vAlign w:val="top"/>
          </w:tcPr>
          <w:p w14:paraId="2DA8B751">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1525" w:type="dxa"/>
            <w:tcBorders>
              <w:top w:val="single" w:color="000000" w:sz="4" w:space="0"/>
              <w:left w:val="nil"/>
              <w:bottom w:val="single" w:color="000000" w:sz="4" w:space="0"/>
              <w:right w:val="single" w:color="000000" w:sz="4" w:space="0"/>
            </w:tcBorders>
            <w:noWrap/>
            <w:vAlign w:val="top"/>
          </w:tcPr>
          <w:p w14:paraId="0012340E">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1079" w:type="dxa"/>
            <w:tcBorders>
              <w:top w:val="single" w:color="000000" w:sz="4" w:space="0"/>
              <w:left w:val="nil"/>
              <w:bottom w:val="single" w:color="000000" w:sz="4" w:space="0"/>
              <w:right w:val="single" w:color="000000" w:sz="4" w:space="0"/>
            </w:tcBorders>
            <w:noWrap/>
            <w:vAlign w:val="top"/>
          </w:tcPr>
          <w:p w14:paraId="492C13CB">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r>
      <w:tr w14:paraId="3000C24F">
        <w:tblPrEx>
          <w:tblCellMar>
            <w:top w:w="0" w:type="dxa"/>
            <w:left w:w="108" w:type="dxa"/>
            <w:bottom w:w="0" w:type="dxa"/>
            <w:right w:w="108" w:type="dxa"/>
          </w:tblCellMar>
        </w:tblPrEx>
        <w:trPr>
          <w:trHeight w:val="340" w:hRule="atLeast"/>
        </w:trPr>
        <w:tc>
          <w:tcPr>
            <w:tcW w:w="531" w:type="dxa"/>
            <w:vMerge w:val="continue"/>
            <w:tcBorders>
              <w:top w:val="nil"/>
              <w:left w:val="single" w:color="000000" w:sz="4" w:space="0"/>
              <w:bottom w:val="single" w:color="000000" w:sz="4" w:space="0"/>
              <w:right w:val="single" w:color="000000" w:sz="4" w:space="0"/>
            </w:tcBorders>
            <w:noWrap/>
            <w:vAlign w:val="center"/>
          </w:tcPr>
          <w:p w14:paraId="79EFD767">
            <w:pPr>
              <w:keepNext w:val="0"/>
              <w:keepLines w:val="0"/>
              <w:widowControl/>
              <w:suppressLineNumbers w:val="0"/>
              <w:spacing w:before="0" w:beforeAutospacing="0" w:after="0" w:afterAutospacing="0"/>
              <w:ind w:left="0" w:right="0"/>
              <w:jc w:val="left"/>
              <w:rPr>
                <w:rFonts w:hint="eastAsia" w:ascii="仿宋" w:hAnsi="仿宋" w:eastAsia="仿宋" w:cs="仿宋"/>
                <w:bCs/>
                <w:color w:val="auto"/>
                <w:kern w:val="0"/>
                <w:sz w:val="24"/>
                <w:szCs w:val="24"/>
                <w:highlight w:val="none"/>
              </w:rPr>
            </w:pPr>
          </w:p>
        </w:tc>
        <w:tc>
          <w:tcPr>
            <w:tcW w:w="1500" w:type="dxa"/>
            <w:vMerge w:val="continue"/>
            <w:tcBorders>
              <w:top w:val="nil"/>
              <w:left w:val="nil"/>
              <w:bottom w:val="single" w:color="000000" w:sz="4" w:space="0"/>
              <w:right w:val="single" w:color="000000" w:sz="4" w:space="0"/>
            </w:tcBorders>
            <w:noWrap/>
            <w:vAlign w:val="center"/>
          </w:tcPr>
          <w:p w14:paraId="6BCC00FC">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24"/>
                <w:szCs w:val="24"/>
                <w:highlight w:val="none"/>
              </w:rPr>
            </w:pPr>
          </w:p>
        </w:tc>
        <w:tc>
          <w:tcPr>
            <w:tcW w:w="1963" w:type="dxa"/>
            <w:tcBorders>
              <w:top w:val="single" w:color="000000" w:sz="4" w:space="0"/>
              <w:left w:val="nil"/>
              <w:bottom w:val="single" w:color="000000" w:sz="4" w:space="0"/>
              <w:right w:val="single" w:color="000000" w:sz="4" w:space="0"/>
            </w:tcBorders>
            <w:noWrap/>
            <w:vAlign w:val="center"/>
          </w:tcPr>
          <w:p w14:paraId="1F8D2ABE">
            <w:pPr>
              <w:keepNext w:val="0"/>
              <w:keepLines w:val="0"/>
              <w:widowControl/>
              <w:suppressLineNumbers w:val="0"/>
              <w:spacing w:before="0" w:beforeAutospacing="0" w:after="0" w:afterAutospacing="0"/>
              <w:ind w:left="0" w:right="0"/>
              <w:jc w:val="left"/>
              <w:rPr>
                <w:rFonts w:hint="eastAsia" w:ascii="仿宋" w:hAnsi="仿宋" w:eastAsia="仿宋" w:cs="仿宋"/>
                <w:color w:val="auto"/>
                <w:kern w:val="0"/>
                <w:sz w:val="24"/>
                <w:szCs w:val="24"/>
                <w:highlight w:val="none"/>
              </w:rPr>
            </w:pPr>
          </w:p>
        </w:tc>
        <w:tc>
          <w:tcPr>
            <w:tcW w:w="2162" w:type="dxa"/>
            <w:tcBorders>
              <w:top w:val="single" w:color="000000" w:sz="4" w:space="0"/>
              <w:left w:val="nil"/>
              <w:bottom w:val="single" w:color="000000" w:sz="4" w:space="0"/>
              <w:right w:val="single" w:color="000000" w:sz="4" w:space="0"/>
            </w:tcBorders>
            <w:noWrap/>
            <w:vAlign w:val="top"/>
          </w:tcPr>
          <w:p w14:paraId="59CDA3DD">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1525" w:type="dxa"/>
            <w:tcBorders>
              <w:top w:val="single" w:color="000000" w:sz="4" w:space="0"/>
              <w:left w:val="nil"/>
              <w:bottom w:val="single" w:color="000000" w:sz="4" w:space="0"/>
              <w:right w:val="single" w:color="000000" w:sz="4" w:space="0"/>
            </w:tcBorders>
            <w:noWrap/>
            <w:vAlign w:val="top"/>
          </w:tcPr>
          <w:p w14:paraId="34C34832">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c>
          <w:tcPr>
            <w:tcW w:w="1079" w:type="dxa"/>
            <w:tcBorders>
              <w:top w:val="single" w:color="000000" w:sz="4" w:space="0"/>
              <w:left w:val="nil"/>
              <w:bottom w:val="single" w:color="000000" w:sz="4" w:space="0"/>
              <w:right w:val="single" w:color="000000" w:sz="4" w:space="0"/>
            </w:tcBorders>
            <w:noWrap/>
            <w:vAlign w:val="top"/>
          </w:tcPr>
          <w:p w14:paraId="067D5120">
            <w:pPr>
              <w:keepNext w:val="0"/>
              <w:keepLines w:val="0"/>
              <w:widowControl/>
              <w:suppressLineNumbers w:val="0"/>
              <w:spacing w:before="0" w:beforeAutospacing="0" w:after="0" w:afterAutospacing="0"/>
              <w:ind w:left="0" w:right="0"/>
              <w:jc w:val="center"/>
              <w:rPr>
                <w:rFonts w:hint="eastAsia" w:ascii="仿宋" w:hAnsi="仿宋" w:eastAsia="仿宋" w:cs="仿宋"/>
                <w:color w:val="auto"/>
                <w:kern w:val="0"/>
                <w:sz w:val="24"/>
                <w:szCs w:val="24"/>
                <w:highlight w:val="none"/>
              </w:rPr>
            </w:pPr>
          </w:p>
        </w:tc>
      </w:tr>
    </w:tbl>
    <w:p w14:paraId="7F6E909C">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供应商承诺：除技术规格响应/偏离表列出的偏差外，供应商响应磋商文件的全部要求。</w:t>
      </w:r>
    </w:p>
    <w:p w14:paraId="6ED14B31">
      <w:pPr>
        <w:pStyle w:val="3"/>
        <w:widowControl/>
        <w:spacing w:before="120" w:after="120" w:line="240" w:lineRule="auto"/>
        <w:jc w:val="center"/>
        <w:rPr>
          <w:rFonts w:hint="eastAsia" w:ascii="仿宋" w:hAnsi="仿宋" w:eastAsia="仿宋" w:cs="仿宋"/>
          <w:color w:val="auto"/>
          <w:kern w:val="0"/>
          <w:sz w:val="28"/>
          <w:highlight w:val="none"/>
          <w:lang w:bidi="en-US"/>
        </w:rPr>
      </w:pPr>
      <w:r>
        <w:rPr>
          <w:rStyle w:val="35"/>
          <w:rFonts w:hint="eastAsia" w:ascii="仿宋" w:hAnsi="仿宋" w:eastAsia="仿宋" w:cs="仿宋"/>
          <w:b/>
          <w:bCs w:val="0"/>
          <w:color w:val="auto"/>
          <w:sz w:val="28"/>
          <w:szCs w:val="30"/>
          <w:highlight w:val="none"/>
        </w:rPr>
        <w:br w:type="page"/>
      </w:r>
    </w:p>
    <w:p w14:paraId="110030FF">
      <w:pPr>
        <w:pStyle w:val="3"/>
        <w:jc w:val="center"/>
        <w:rPr>
          <w:rFonts w:hint="eastAsia" w:ascii="仿宋" w:hAnsi="仿宋" w:eastAsia="仿宋" w:cs="仿宋"/>
        </w:rPr>
      </w:pPr>
      <w:r>
        <w:rPr>
          <w:rFonts w:hint="eastAsia" w:ascii="仿宋" w:hAnsi="仿宋" w:eastAsia="仿宋" w:cs="仿宋"/>
          <w:sz w:val="28"/>
          <w:szCs w:val="28"/>
          <w:lang w:val="en-US" w:eastAsia="zh-CN"/>
        </w:rPr>
        <w:t>九、</w:t>
      </w:r>
      <w:r>
        <w:rPr>
          <w:rFonts w:hint="eastAsia" w:ascii="仿宋" w:hAnsi="仿宋" w:eastAsia="仿宋" w:cs="仿宋"/>
        </w:rPr>
        <w:t>供应商认为需要提交的其他文件</w:t>
      </w:r>
    </w:p>
    <w:p w14:paraId="1A34E28C">
      <w:pPr>
        <w:spacing w:line="360" w:lineRule="auto"/>
        <w:ind w:firstLine="470" w:firstLineChars="196"/>
        <w:jc w:val="both"/>
        <w:rPr>
          <w:rFonts w:hint="eastAsia" w:ascii="仿宋" w:hAnsi="仿宋" w:eastAsia="仿宋" w:cs="宋体"/>
          <w:color w:val="000000"/>
          <w:sz w:val="24"/>
          <w:lang w:val="en-US" w:eastAsia="zh-CN"/>
        </w:rPr>
      </w:pPr>
      <w:r>
        <w:rPr>
          <w:rFonts w:hint="eastAsia" w:ascii="仿宋" w:hAnsi="仿宋" w:eastAsia="仿宋" w:cs="宋体"/>
          <w:color w:val="000000"/>
          <w:sz w:val="24"/>
          <w:lang w:val="en-US" w:eastAsia="zh-CN"/>
        </w:rPr>
        <w:t>（根据评审办法依次编制，格式自拟）</w:t>
      </w:r>
    </w:p>
    <w:p w14:paraId="4F237033">
      <w:pPr>
        <w:spacing w:line="360" w:lineRule="auto"/>
        <w:ind w:firstLine="470" w:firstLineChars="196"/>
        <w:rPr>
          <w:rFonts w:hint="eastAsia" w:ascii="仿宋" w:hAnsi="仿宋" w:eastAsia="仿宋" w:cs="宋体"/>
          <w:color w:val="000000"/>
          <w:sz w:val="24"/>
          <w:lang w:val="en-US" w:eastAsia="zh-CN"/>
        </w:rPr>
      </w:pPr>
    </w:p>
    <w:p w14:paraId="0BD34E13">
      <w:pPr>
        <w:spacing w:line="360" w:lineRule="auto"/>
        <w:rPr>
          <w:rFonts w:hint="eastAsia" w:ascii="仿宋" w:hAnsi="仿宋" w:eastAsia="仿宋" w:cs="宋体"/>
          <w:color w:val="000000"/>
          <w:sz w:val="24"/>
          <w:lang w:val="en-US" w:eastAsia="zh-CN"/>
        </w:rPr>
      </w:pPr>
    </w:p>
    <w:sectPr>
      <w:headerReference r:id="rId7" w:type="default"/>
      <w:footerReference r:id="rId8"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auto"/>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TimesNewRomanPSMT">
    <w:altName w:val="Times New Roman"/>
    <w:panose1 w:val="00000000000000000000"/>
    <w:charset w:val="00"/>
    <w:family w:val="auto"/>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48BD1">
    <w:pPr>
      <w:pStyle w:val="13"/>
      <w:rPr>
        <w:rFonts w:ascii="Arial" w:hAnsi="Arial" w:cs="Arial"/>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DBCB1DB">
                          <w:pPr>
                            <w:pStyle w:val="13"/>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32</w:t>
                          </w:r>
                          <w:r>
                            <w:rPr>
                              <w:rFonts w:hint="eastAsia"/>
                            </w:rPr>
                            <w:fldChar w:fldCharType="end"/>
                          </w:r>
                          <w:r>
                            <w:rPr>
                              <w:rFonts w:hint="eastAsia"/>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DBCB1DB">
                    <w:pPr>
                      <w:pStyle w:val="13"/>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32</w:t>
                    </w:r>
                    <w:r>
                      <w:rPr>
                        <w:rFonts w:hint="eastAsia"/>
                      </w:rPr>
                      <w:fldChar w:fldCharType="end"/>
                    </w:r>
                    <w:r>
                      <w:rPr>
                        <w:rFonts w:hint="eastAsia"/>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2451D">
    <w:pPr>
      <w:pStyle w:val="13"/>
      <w:rPr>
        <w:rFonts w:ascii="Arial" w:hAnsi="Arial" w:cs="Arial"/>
        <w:sz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9CFE62C">
                          <w:pPr>
                            <w:pStyle w:val="13"/>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37</w:t>
                          </w:r>
                          <w:r>
                            <w:rPr>
                              <w:rFonts w:hint="eastAsia"/>
                            </w:rPr>
                            <w:fldChar w:fldCharType="end"/>
                          </w:r>
                          <w:r>
                            <w:rPr>
                              <w:rFonts w:hint="eastAsia"/>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59CFE62C">
                    <w:pPr>
                      <w:pStyle w:val="13"/>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37</w:t>
                    </w:r>
                    <w:r>
                      <w:rPr>
                        <w:rFonts w:hint="eastAsia"/>
                      </w:rP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3AED6">
    <w:pPr>
      <w:pStyle w:val="14"/>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3C7B3">
    <w:pPr>
      <w:pStyle w:val="14"/>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3028950" cy="2790825"/>
          <wp:effectExtent l="0" t="0" r="0" b="9525"/>
          <wp:wrapNone/>
          <wp:docPr id="7" name="WordPictureWatermark279874022" descr="LOGO_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ordPictureWatermark279874022" descr="LOGO_s"/>
                  <pic:cNvPicPr>
                    <a:picLocks noChangeAspect="1"/>
                  </pic:cNvPicPr>
                </pic:nvPicPr>
                <pic:blipFill>
                  <a:blip r:embed="rId1">
                    <a:lum bright="70001" contrast="-70000"/>
                  </a:blip>
                  <a:stretch>
                    <a:fillRect/>
                  </a:stretch>
                </pic:blipFill>
                <pic:spPr>
                  <a:xfrm>
                    <a:off x="0" y="0"/>
                    <a:ext cx="3028950" cy="279082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C43B5">
    <w:pPr>
      <w:pStyle w:val="14"/>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3028950" cy="2790825"/>
          <wp:effectExtent l="0" t="0" r="0" b="9525"/>
          <wp:wrapNone/>
          <wp:docPr id="6" name="WordPictureWatermark279874021" descr="LOGO_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279874021" descr="LOGO_s"/>
                  <pic:cNvPicPr>
                    <a:picLocks noChangeAspect="1"/>
                  </pic:cNvPicPr>
                </pic:nvPicPr>
                <pic:blipFill>
                  <a:blip r:embed="rId1">
                    <a:lum bright="70001" contrast="-70000"/>
                  </a:blip>
                  <a:stretch>
                    <a:fillRect/>
                  </a:stretch>
                </pic:blipFill>
                <pic:spPr>
                  <a:xfrm>
                    <a:off x="0" y="0"/>
                    <a:ext cx="3028950" cy="279082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98EEF">
    <w:pPr>
      <w:pStyle w:val="14"/>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686942"/>
    <w:multiLevelType w:val="singleLevel"/>
    <w:tmpl w:val="D4686942"/>
    <w:lvl w:ilvl="0" w:tentative="0">
      <w:start w:val="1"/>
      <w:numFmt w:val="decimal"/>
      <w:suff w:val="nothing"/>
      <w:lvlText w:val="%1、"/>
      <w:lvlJc w:val="left"/>
    </w:lvl>
  </w:abstractNum>
  <w:abstractNum w:abstractNumId="1">
    <w:nsid w:val="E248586E"/>
    <w:multiLevelType w:val="singleLevel"/>
    <w:tmpl w:val="E248586E"/>
    <w:lvl w:ilvl="0" w:tentative="0">
      <w:start w:val="3"/>
      <w:numFmt w:val="decimal"/>
      <w:suff w:val="nothing"/>
      <w:lvlText w:val="%1、"/>
      <w:lvlJc w:val="left"/>
    </w:lvl>
  </w:abstractNum>
  <w:abstractNum w:abstractNumId="2">
    <w:nsid w:val="47EB3D86"/>
    <w:multiLevelType w:val="multilevel"/>
    <w:tmpl w:val="47EB3D86"/>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B7514F9"/>
    <w:multiLevelType w:val="multilevel"/>
    <w:tmpl w:val="4B7514F9"/>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3B2DA2"/>
    <w:rsid w:val="00AB3452"/>
    <w:rsid w:val="00B72CE6"/>
    <w:rsid w:val="0148428A"/>
    <w:rsid w:val="021E56A8"/>
    <w:rsid w:val="02DC57FB"/>
    <w:rsid w:val="04F26020"/>
    <w:rsid w:val="05237BC9"/>
    <w:rsid w:val="05BD626F"/>
    <w:rsid w:val="06071DE4"/>
    <w:rsid w:val="061816F7"/>
    <w:rsid w:val="067F3540"/>
    <w:rsid w:val="06D25D4A"/>
    <w:rsid w:val="0717375D"/>
    <w:rsid w:val="075524D7"/>
    <w:rsid w:val="07632E46"/>
    <w:rsid w:val="07C5140B"/>
    <w:rsid w:val="08FF1BA0"/>
    <w:rsid w:val="090221EB"/>
    <w:rsid w:val="09151F1E"/>
    <w:rsid w:val="091A5787"/>
    <w:rsid w:val="09FE0C04"/>
    <w:rsid w:val="0AAC68B2"/>
    <w:rsid w:val="0AFC15E8"/>
    <w:rsid w:val="0B246E3A"/>
    <w:rsid w:val="0C12763F"/>
    <w:rsid w:val="0C366CF2"/>
    <w:rsid w:val="0C5B3A30"/>
    <w:rsid w:val="0CAC2B9A"/>
    <w:rsid w:val="0D1A5D55"/>
    <w:rsid w:val="0D8B5E9F"/>
    <w:rsid w:val="0D8D4779"/>
    <w:rsid w:val="0D95362E"/>
    <w:rsid w:val="0DBE2B84"/>
    <w:rsid w:val="0DFE7C36"/>
    <w:rsid w:val="0E9425D4"/>
    <w:rsid w:val="0F847C52"/>
    <w:rsid w:val="0F8E6586"/>
    <w:rsid w:val="10152804"/>
    <w:rsid w:val="105A46BB"/>
    <w:rsid w:val="10967DE9"/>
    <w:rsid w:val="11140D0D"/>
    <w:rsid w:val="124C70ED"/>
    <w:rsid w:val="12865C3B"/>
    <w:rsid w:val="13855EF2"/>
    <w:rsid w:val="143F42F3"/>
    <w:rsid w:val="1513286D"/>
    <w:rsid w:val="152F6116"/>
    <w:rsid w:val="15BE749A"/>
    <w:rsid w:val="17555BDC"/>
    <w:rsid w:val="18D81BA2"/>
    <w:rsid w:val="19075815"/>
    <w:rsid w:val="19FE5475"/>
    <w:rsid w:val="1A277D03"/>
    <w:rsid w:val="1ADC289C"/>
    <w:rsid w:val="1BC30189"/>
    <w:rsid w:val="1C7A6810"/>
    <w:rsid w:val="1CE4012E"/>
    <w:rsid w:val="1D2247B2"/>
    <w:rsid w:val="1FC16504"/>
    <w:rsid w:val="22632F8C"/>
    <w:rsid w:val="22E54F12"/>
    <w:rsid w:val="239336E8"/>
    <w:rsid w:val="2435110C"/>
    <w:rsid w:val="244016C1"/>
    <w:rsid w:val="25DE4C6C"/>
    <w:rsid w:val="260809E9"/>
    <w:rsid w:val="2624159B"/>
    <w:rsid w:val="26C422AA"/>
    <w:rsid w:val="27084A19"/>
    <w:rsid w:val="27181100"/>
    <w:rsid w:val="277F6E59"/>
    <w:rsid w:val="279B4181"/>
    <w:rsid w:val="28377363"/>
    <w:rsid w:val="28A12B3E"/>
    <w:rsid w:val="28BB61E6"/>
    <w:rsid w:val="296F60AE"/>
    <w:rsid w:val="2A063842"/>
    <w:rsid w:val="2A44045E"/>
    <w:rsid w:val="2BD001FB"/>
    <w:rsid w:val="2E267B1B"/>
    <w:rsid w:val="2ED3590C"/>
    <w:rsid w:val="2EEB653B"/>
    <w:rsid w:val="2F7D2448"/>
    <w:rsid w:val="2FEC68B9"/>
    <w:rsid w:val="303F594F"/>
    <w:rsid w:val="31124E12"/>
    <w:rsid w:val="318A2BFA"/>
    <w:rsid w:val="33650DA4"/>
    <w:rsid w:val="346516FC"/>
    <w:rsid w:val="35AA3EE4"/>
    <w:rsid w:val="35CC2A93"/>
    <w:rsid w:val="35E86141"/>
    <w:rsid w:val="35F44AE6"/>
    <w:rsid w:val="37DC6BD1"/>
    <w:rsid w:val="37F4701F"/>
    <w:rsid w:val="38787C50"/>
    <w:rsid w:val="389B3C21"/>
    <w:rsid w:val="390E5EBF"/>
    <w:rsid w:val="39786BCF"/>
    <w:rsid w:val="39822409"/>
    <w:rsid w:val="3A49651A"/>
    <w:rsid w:val="3B0C4680"/>
    <w:rsid w:val="3C123F18"/>
    <w:rsid w:val="3C737430"/>
    <w:rsid w:val="3CD3666C"/>
    <w:rsid w:val="3CDB255C"/>
    <w:rsid w:val="3D0F48FB"/>
    <w:rsid w:val="3D5642D8"/>
    <w:rsid w:val="3DB86D41"/>
    <w:rsid w:val="3DDD2303"/>
    <w:rsid w:val="3E762E96"/>
    <w:rsid w:val="3F1955BD"/>
    <w:rsid w:val="3F3C12AC"/>
    <w:rsid w:val="3F6B7D64"/>
    <w:rsid w:val="3F875993"/>
    <w:rsid w:val="3F90164D"/>
    <w:rsid w:val="3FA532F5"/>
    <w:rsid w:val="40752CC7"/>
    <w:rsid w:val="40925627"/>
    <w:rsid w:val="40FD201B"/>
    <w:rsid w:val="416B7C26"/>
    <w:rsid w:val="41E903E4"/>
    <w:rsid w:val="41F93484"/>
    <w:rsid w:val="421D1269"/>
    <w:rsid w:val="42970B4A"/>
    <w:rsid w:val="42CD6DEA"/>
    <w:rsid w:val="4343168B"/>
    <w:rsid w:val="438C45B0"/>
    <w:rsid w:val="43D16732"/>
    <w:rsid w:val="44E16B7D"/>
    <w:rsid w:val="452B1399"/>
    <w:rsid w:val="4541586E"/>
    <w:rsid w:val="4575131D"/>
    <w:rsid w:val="46E82445"/>
    <w:rsid w:val="48750D69"/>
    <w:rsid w:val="48AE4FC8"/>
    <w:rsid w:val="4A5B267F"/>
    <w:rsid w:val="4ABA38B7"/>
    <w:rsid w:val="4AE271AB"/>
    <w:rsid w:val="4B9C1A50"/>
    <w:rsid w:val="4C066EC9"/>
    <w:rsid w:val="4CCA3A16"/>
    <w:rsid w:val="4DBE3EFF"/>
    <w:rsid w:val="4E105F6A"/>
    <w:rsid w:val="4E5A513A"/>
    <w:rsid w:val="507733AF"/>
    <w:rsid w:val="5099147F"/>
    <w:rsid w:val="51204589"/>
    <w:rsid w:val="518C579C"/>
    <w:rsid w:val="51905BB3"/>
    <w:rsid w:val="520F5126"/>
    <w:rsid w:val="5293024C"/>
    <w:rsid w:val="52D65847"/>
    <w:rsid w:val="5322283B"/>
    <w:rsid w:val="53D570CF"/>
    <w:rsid w:val="566D29E1"/>
    <w:rsid w:val="572052E3"/>
    <w:rsid w:val="57A35F14"/>
    <w:rsid w:val="57EF1159"/>
    <w:rsid w:val="582F40D2"/>
    <w:rsid w:val="595953A4"/>
    <w:rsid w:val="59B461B6"/>
    <w:rsid w:val="5A3F73BB"/>
    <w:rsid w:val="5AAB4D51"/>
    <w:rsid w:val="5AB3646E"/>
    <w:rsid w:val="5B5E63DA"/>
    <w:rsid w:val="5B692B86"/>
    <w:rsid w:val="5B726329"/>
    <w:rsid w:val="5C8400C2"/>
    <w:rsid w:val="5CC04E72"/>
    <w:rsid w:val="5CCC1228"/>
    <w:rsid w:val="5E01231D"/>
    <w:rsid w:val="5F053FD1"/>
    <w:rsid w:val="5F6917F1"/>
    <w:rsid w:val="5F7D704B"/>
    <w:rsid w:val="5FB010AC"/>
    <w:rsid w:val="5FDA3965"/>
    <w:rsid w:val="600F2399"/>
    <w:rsid w:val="60114363"/>
    <w:rsid w:val="602D6CC3"/>
    <w:rsid w:val="609B59DA"/>
    <w:rsid w:val="61861393"/>
    <w:rsid w:val="61AD3C17"/>
    <w:rsid w:val="620D1439"/>
    <w:rsid w:val="625C5CEF"/>
    <w:rsid w:val="625E3163"/>
    <w:rsid w:val="62F017AD"/>
    <w:rsid w:val="635B58F5"/>
    <w:rsid w:val="63F518A5"/>
    <w:rsid w:val="64104931"/>
    <w:rsid w:val="64395C36"/>
    <w:rsid w:val="64FF0419"/>
    <w:rsid w:val="6563231D"/>
    <w:rsid w:val="659C4D0A"/>
    <w:rsid w:val="660364FC"/>
    <w:rsid w:val="663E7534"/>
    <w:rsid w:val="669B6734"/>
    <w:rsid w:val="68754EED"/>
    <w:rsid w:val="698F62F8"/>
    <w:rsid w:val="6A7A7495"/>
    <w:rsid w:val="6B105EB6"/>
    <w:rsid w:val="6B245845"/>
    <w:rsid w:val="6B462DDA"/>
    <w:rsid w:val="6CA049E4"/>
    <w:rsid w:val="6D3B2A1F"/>
    <w:rsid w:val="6D7B106D"/>
    <w:rsid w:val="6EDA1ADE"/>
    <w:rsid w:val="6EF24F47"/>
    <w:rsid w:val="6F5013AD"/>
    <w:rsid w:val="6F9B77A5"/>
    <w:rsid w:val="7034179D"/>
    <w:rsid w:val="70C163F9"/>
    <w:rsid w:val="71066EA0"/>
    <w:rsid w:val="717100DF"/>
    <w:rsid w:val="717D2422"/>
    <w:rsid w:val="71BF565B"/>
    <w:rsid w:val="727E6F0A"/>
    <w:rsid w:val="72CF15E5"/>
    <w:rsid w:val="72FA6ED8"/>
    <w:rsid w:val="73A00E5C"/>
    <w:rsid w:val="73BE7F06"/>
    <w:rsid w:val="743962A2"/>
    <w:rsid w:val="74F6722B"/>
    <w:rsid w:val="752A0C82"/>
    <w:rsid w:val="75537797"/>
    <w:rsid w:val="768371E5"/>
    <w:rsid w:val="76980729"/>
    <w:rsid w:val="769813AA"/>
    <w:rsid w:val="77514BED"/>
    <w:rsid w:val="777F5BFE"/>
    <w:rsid w:val="781520BE"/>
    <w:rsid w:val="793521BF"/>
    <w:rsid w:val="7A613399"/>
    <w:rsid w:val="7AF97A75"/>
    <w:rsid w:val="7B497A91"/>
    <w:rsid w:val="7BF90E10"/>
    <w:rsid w:val="7D374932"/>
    <w:rsid w:val="7D7D673C"/>
    <w:rsid w:val="7D8E32DB"/>
    <w:rsid w:val="7DC425BD"/>
    <w:rsid w:val="7E231661"/>
    <w:rsid w:val="7F9D4E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Ascii" w:hAnsiTheme="minorAscii" w:eastAsiaTheme="minorEastAsia" w:cstheme="minorBidi"/>
      <w:kern w:val="2"/>
      <w:sz w:val="21"/>
      <w:szCs w:val="24"/>
      <w:lang w:val="en-US" w:eastAsia="zh-CN" w:bidi="ar-SA"/>
    </w:rPr>
  </w:style>
  <w:style w:type="paragraph" w:styleId="2">
    <w:name w:val="heading 1"/>
    <w:basedOn w:val="1"/>
    <w:next w:val="1"/>
    <w:link w:val="3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widowControl/>
      <w:snapToGrid w:val="0"/>
      <w:spacing w:line="360" w:lineRule="auto"/>
      <w:jc w:val="left"/>
      <w:outlineLvl w:val="2"/>
    </w:pPr>
    <w:rPr>
      <w:rFonts w:ascii="宋体" w:hAnsi="宋体"/>
      <w:b/>
      <w:bCs/>
      <w:kern w:val="0"/>
      <w:sz w:val="28"/>
      <w:lang w:eastAsia="en-US" w:bidi="en-US"/>
    </w:rPr>
  </w:style>
  <w:style w:type="paragraph" w:styleId="5">
    <w:name w:val="heading 5"/>
    <w:basedOn w:val="1"/>
    <w:next w:val="1"/>
    <w:qFormat/>
    <w:uiPriority w:val="9"/>
    <w:pPr>
      <w:keepNext/>
      <w:keepLines/>
      <w:spacing w:before="280" w:after="290" w:line="376" w:lineRule="auto"/>
      <w:outlineLvl w:val="4"/>
    </w:pPr>
    <w:rPr>
      <w:b/>
      <w:bCs/>
      <w:sz w:val="28"/>
      <w:szCs w:val="28"/>
    </w:rPr>
  </w:style>
  <w:style w:type="character" w:default="1" w:styleId="21">
    <w:name w:val="Default Paragraph Font"/>
    <w:semiHidden/>
    <w:qFormat/>
    <w:uiPriority w:val="0"/>
  </w:style>
  <w:style w:type="table" w:default="1" w:styleId="19">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ody Text 3"/>
    <w:basedOn w:val="1"/>
    <w:qFormat/>
    <w:uiPriority w:val="0"/>
    <w:pPr>
      <w:spacing w:before="156" w:beforeLines="50" w:after="156" w:afterLines="50" w:line="460" w:lineRule="exact"/>
      <w:jc w:val="center"/>
    </w:pPr>
    <w:rPr>
      <w:rFonts w:ascii="仿宋_GB2312" w:hAnsi="Arial" w:eastAsia="仿宋_GB2312"/>
      <w:bCs/>
      <w:sz w:val="28"/>
      <w:szCs w:val="28"/>
    </w:rPr>
  </w:style>
  <w:style w:type="paragraph" w:styleId="8">
    <w:name w:val="Body Text"/>
    <w:basedOn w:val="1"/>
    <w:qFormat/>
    <w:uiPriority w:val="0"/>
    <w:pPr>
      <w:jc w:val="center"/>
    </w:pPr>
    <w:rPr>
      <w:rFonts w:eastAsia="黑体"/>
      <w:b/>
      <w:bCs/>
      <w:sz w:val="36"/>
    </w:rPr>
  </w:style>
  <w:style w:type="paragraph" w:styleId="9">
    <w:name w:val="Body Text Indent"/>
    <w:basedOn w:val="1"/>
    <w:next w:val="10"/>
    <w:qFormat/>
    <w:uiPriority w:val="0"/>
    <w:pPr>
      <w:spacing w:line="700" w:lineRule="exact"/>
      <w:ind w:left="960"/>
    </w:pPr>
    <w:rPr>
      <w:rFonts w:ascii="仿宋_GB2312" w:hAnsi="Verdana" w:cs="仿宋_GB2312"/>
      <w:color w:val="10000A"/>
      <w:sz w:val="44"/>
      <w:szCs w:val="32"/>
    </w:rPr>
  </w:style>
  <w:style w:type="paragraph" w:styleId="10">
    <w:name w:val="envelope return"/>
    <w:basedOn w:val="1"/>
    <w:qFormat/>
    <w:uiPriority w:val="0"/>
    <w:pPr>
      <w:snapToGrid w:val="0"/>
    </w:pPr>
    <w:rPr>
      <w:rFonts w:ascii="Arial" w:hAnsi="Arial" w:cs="Arial"/>
      <w:sz w:val="21"/>
      <w:szCs w:val="24"/>
    </w:rPr>
  </w:style>
  <w:style w:type="paragraph" w:styleId="11">
    <w:name w:val="Plain Text"/>
    <w:basedOn w:val="1"/>
    <w:qFormat/>
    <w:uiPriority w:val="0"/>
    <w:rPr>
      <w:rFonts w:ascii="宋体" w:hAnsi="Courier New"/>
      <w:szCs w:val="21"/>
    </w:rPr>
  </w:style>
  <w:style w:type="paragraph" w:styleId="12">
    <w:name w:val="Date"/>
    <w:basedOn w:val="1"/>
    <w:next w:val="1"/>
    <w:qFormat/>
    <w:uiPriority w:val="0"/>
    <w:rPr>
      <w:b/>
      <w:sz w:val="28"/>
      <w:szCs w:val="20"/>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qFormat/>
    <w:uiPriority w:val="39"/>
    <w:rPr>
      <w:sz w:val="24"/>
    </w:rPr>
  </w:style>
  <w:style w:type="paragraph" w:styleId="16">
    <w:name w:val="toc 2"/>
    <w:basedOn w:val="1"/>
    <w:next w:val="1"/>
    <w:qFormat/>
    <w:uiPriority w:val="39"/>
    <w:pPr>
      <w:tabs>
        <w:tab w:val="right" w:leader="dot" w:pos="8965"/>
      </w:tabs>
      <w:ind w:left="378" w:leftChars="200"/>
      <w:jc w:val="left"/>
    </w:pPr>
    <w:rPr>
      <w:sz w:val="24"/>
    </w:rPr>
  </w:style>
  <w:style w:type="paragraph" w:styleId="1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8">
    <w:name w:val="Body Text First Indent 2"/>
    <w:basedOn w:val="9"/>
    <w:next w:val="1"/>
    <w:qFormat/>
    <w:uiPriority w:val="0"/>
    <w:pPr>
      <w:spacing w:after="120" w:line="240" w:lineRule="auto"/>
      <w:ind w:left="420" w:leftChars="200" w:firstLine="420" w:firstLineChars="20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qFormat/>
    <w:uiPriority w:val="0"/>
    <w:rPr>
      <w:b/>
    </w:rPr>
  </w:style>
  <w:style w:type="character" w:styleId="23">
    <w:name w:val="page number"/>
    <w:qFormat/>
    <w:uiPriority w:val="0"/>
  </w:style>
  <w:style w:type="character" w:styleId="24">
    <w:name w:val="Hyperlink"/>
    <w:qFormat/>
    <w:uiPriority w:val="99"/>
    <w:rPr>
      <w:color w:val="0000FF"/>
      <w:u w:val="single"/>
    </w:rPr>
  </w:style>
  <w:style w:type="character" w:customStyle="1" w:styleId="25">
    <w:name w:val="fontstyle01"/>
    <w:basedOn w:val="21"/>
    <w:qFormat/>
    <w:uiPriority w:val="0"/>
    <w:rPr>
      <w:rFonts w:hint="eastAsia" w:ascii="宋体" w:hAnsi="宋体" w:eastAsia="宋体"/>
      <w:color w:val="000000"/>
      <w:sz w:val="24"/>
      <w:szCs w:val="24"/>
    </w:rPr>
  </w:style>
  <w:style w:type="paragraph" w:styleId="26">
    <w:name w:val="List Paragraph"/>
    <w:basedOn w:val="1"/>
    <w:qFormat/>
    <w:uiPriority w:val="34"/>
    <w:pPr>
      <w:ind w:firstLine="420" w:firstLineChars="200"/>
    </w:pPr>
  </w:style>
  <w:style w:type="paragraph" w:customStyle="1" w:styleId="27">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28">
    <w:name w:val="Char Char Char Char Char Char Char1 Char"/>
    <w:basedOn w:val="1"/>
    <w:qFormat/>
    <w:uiPriority w:val="0"/>
    <w:rPr>
      <w:rFonts w:ascii="Tahoma" w:hAnsi="Tahoma"/>
      <w:sz w:val="24"/>
      <w:szCs w:val="20"/>
    </w:rPr>
  </w:style>
  <w:style w:type="paragraph" w:customStyle="1" w:styleId="29">
    <w:name w:val="D&amp;L"/>
    <w:basedOn w:val="14"/>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30">
    <w:name w:val="_Style 120"/>
    <w:basedOn w:val="1"/>
    <w:next w:val="26"/>
    <w:qFormat/>
    <w:uiPriority w:val="34"/>
    <w:pPr>
      <w:ind w:left="528" w:firstLine="480"/>
    </w:pPr>
  </w:style>
  <w:style w:type="character" w:customStyle="1" w:styleId="31">
    <w:name w:val="标题 1 字符"/>
    <w:link w:val="2"/>
    <w:qFormat/>
    <w:uiPriority w:val="0"/>
    <w:rPr>
      <w:b/>
      <w:kern w:val="44"/>
      <w:sz w:val="44"/>
    </w:rPr>
  </w:style>
  <w:style w:type="paragraph" w:customStyle="1" w:styleId="32">
    <w:name w:val="Table Paragraph"/>
    <w:basedOn w:val="1"/>
    <w:qFormat/>
    <w:uiPriority w:val="1"/>
    <w:pPr>
      <w:autoSpaceDE w:val="0"/>
      <w:autoSpaceDN w:val="0"/>
      <w:jc w:val="left"/>
    </w:pPr>
    <w:rPr>
      <w:rFonts w:ascii="Cambria Math" w:hAnsi="Cambria Math" w:eastAsia="等线" w:cs="Cambria Math"/>
      <w:kern w:val="0"/>
      <w:sz w:val="22"/>
      <w:szCs w:val="22"/>
      <w:lang w:val="zh-CN" w:bidi="zh-CN"/>
    </w:rPr>
  </w:style>
  <w:style w:type="character" w:customStyle="1" w:styleId="33">
    <w:name w:val="fontstyle11"/>
    <w:qFormat/>
    <w:uiPriority w:val="0"/>
    <w:rPr>
      <w:rFonts w:hint="default" w:ascii="TimesNewRomanPSMT" w:hAnsi="TimesNewRomanPSMT"/>
      <w:color w:val="000000"/>
      <w:sz w:val="22"/>
      <w:szCs w:val="22"/>
    </w:rPr>
  </w:style>
  <w:style w:type="paragraph" w:customStyle="1" w:styleId="34">
    <w:name w:val="reader-word-layer"/>
    <w:basedOn w:val="1"/>
    <w:qFormat/>
    <w:uiPriority w:val="0"/>
    <w:pPr>
      <w:widowControl/>
      <w:spacing w:before="100" w:beforeAutospacing="1" w:after="100" w:afterAutospacing="1"/>
      <w:jc w:val="left"/>
    </w:pPr>
    <w:rPr>
      <w:rFonts w:ascii="宋体" w:hAnsi="宋体" w:cs="宋体"/>
      <w:kern w:val="0"/>
      <w:sz w:val="24"/>
    </w:rPr>
  </w:style>
  <w:style w:type="character" w:customStyle="1" w:styleId="35">
    <w:name w:val="标题 2 Char Char"/>
    <w:autoRedefine/>
    <w:qFormat/>
    <w:uiPriority w:val="0"/>
    <w:rPr>
      <w:rFonts w:ascii="Arial" w:hAnsi="Arial" w:eastAsia="黑体" w:cs="Times New Roman"/>
      <w:b/>
      <w:bCs/>
      <w:kern w:val="2"/>
      <w:sz w:val="32"/>
      <w:szCs w:val="32"/>
      <w:lang w:val="en-US" w:eastAsia="zh-CN" w:bidi="ar-SA"/>
    </w:rPr>
  </w:style>
  <w:style w:type="paragraph" w:customStyle="1" w:styleId="36">
    <w:name w:val="正文2"/>
    <w:qFormat/>
    <w:uiPriority w:val="0"/>
    <w:pPr>
      <w:widowControl w:val="0"/>
      <w:adjustRightInd w:val="0"/>
      <w:spacing w:line="312" w:lineRule="atLeast"/>
      <w:jc w:val="both"/>
      <w:textAlignment w:val="baseline"/>
    </w:pPr>
    <w:rPr>
      <w:rFonts w:ascii="宋体" w:hAnsi="Times New Roman" w:eastAsia="楷体" w:cs="Times New Roman"/>
      <w:b/>
      <w:color w:val="0000FF"/>
      <w:kern w:val="2"/>
      <w:sz w:val="21"/>
      <w:szCs w:val="22"/>
      <w:lang w:val="en-US" w:eastAsia="zh-CN" w:bidi="ar-SA"/>
    </w:rPr>
  </w:style>
  <w:style w:type="paragraph" w:customStyle="1" w:styleId="37">
    <w:name w:val="p15"/>
    <w:basedOn w:val="1"/>
    <w:qFormat/>
    <w:uiPriority w:val="0"/>
    <w:pPr>
      <w:widowControl/>
      <w:spacing w:before="100" w:line="400" w:lineRule="atLeast"/>
    </w:pPr>
    <w:rPr>
      <w:kern w:val="0"/>
      <w:sz w:val="28"/>
      <w:szCs w:val="28"/>
    </w:rPr>
  </w:style>
  <w:style w:type="paragraph" w:customStyle="1" w:styleId="38">
    <w:name w:val="p0"/>
    <w:basedOn w:val="1"/>
    <w:qFormat/>
    <w:uiPriority w:val="0"/>
    <w:pPr>
      <w:widowControl/>
    </w:pPr>
    <w:rPr>
      <w:kern w:val="0"/>
      <w:szCs w:val="21"/>
    </w:rPr>
  </w:style>
  <w:style w:type="paragraph" w:customStyle="1" w:styleId="3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50</Pages>
  <Words>15363</Words>
  <Characters>16137</Characters>
  <Lines>0</Lines>
  <Paragraphs>0</Paragraphs>
  <TotalTime>36</TotalTime>
  <ScaleCrop>false</ScaleCrop>
  <LinksUpToDate>false</LinksUpToDate>
  <CharactersWithSpaces>16345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2026-07-21T06:47:00Z</dcterms:created>
  <dc:creator>汪媛媛</dc:creator>
  <cp:lastModifiedBy>吕蒙蒙</cp:lastModifiedBy>
  <dcterms:modified xsi:type="dcterms:W3CDTF">2026-10-26T01:46:20Z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205B7065DF2442838F75EEEF826A07DD_13</vt:lpwstr>
  </property>
  <property fmtid="{D5CDD505-2E9C-101B-9397-08002B2CF9AE}" pid="4" name="KSOTemplateDocerSaveRecord">
    <vt:lpwstr>eyJoZGlkIjoiMjFjYzM2OWI1NDNhNDExMzI5ZDcyMDM2OTcxY2QyM2QiLCJ1c2VySWQiOiIxNzc1ODY0NDIwIn0=</vt:lpwstr>
  </property>
</Properties>
</file>