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B74173">
      <w:pPr>
        <w:pStyle w:val="2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lang w:val="en-US" w:eastAsia="zh-CN"/>
        </w:rPr>
        <w:t>中国科学技术大学</w:t>
      </w:r>
      <w:r>
        <w:rPr>
          <w:rFonts w:hint="eastAsia" w:ascii="仿宋" w:hAnsi="仿宋" w:eastAsia="仿宋" w:cs="仿宋"/>
        </w:rPr>
        <w:t>新能源汽车充电桩</w:t>
      </w:r>
      <w:r>
        <w:rPr>
          <w:rFonts w:hint="eastAsia" w:ascii="仿宋" w:hAnsi="仿宋" w:eastAsia="仿宋" w:cs="仿宋"/>
        </w:rPr>
        <w:br w:type="textWrapping"/>
      </w:r>
      <w:r>
        <w:rPr>
          <w:rFonts w:hint="eastAsia" w:ascii="仿宋" w:hAnsi="仿宋" w:eastAsia="仿宋" w:cs="仿宋"/>
          <w:lang w:val="en-US" w:eastAsia="zh-CN"/>
        </w:rPr>
        <w:t>运营服务（BOO模式）项目意向征集公告</w:t>
      </w:r>
    </w:p>
    <w:p w14:paraId="0DAEFF6C">
      <w:pPr>
        <w:spacing w:after="120" w:line="240" w:lineRule="auto"/>
        <w:ind w:firstLine="480" w:firstLineChars="200"/>
        <w:jc w:val="both"/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</w:rPr>
        <w:t>我校拟对东、中、西、</w:t>
      </w:r>
      <w:r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高新</w:t>
      </w:r>
      <w:r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</w:rPr>
        <w:t>校区</w:t>
      </w:r>
      <w:r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以及太湖路园区预计约260台新能源汽车充电桩运营服务（BOO模式）项目</w:t>
      </w:r>
      <w:r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</w:rPr>
        <w:t>进行采购，向广大潜在维保服务供应商就本项目进行意见征询，</w:t>
      </w:r>
      <w:r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项目情况详见后文，欢迎有意向的服务供应商联系，并磋商运营服务方案。</w:t>
      </w:r>
    </w:p>
    <w:p w14:paraId="5EF733AF">
      <w:pPr>
        <w:spacing w:after="120" w:line="240" w:lineRule="auto"/>
        <w:ind w:firstLine="480" w:firstLineChars="200"/>
        <w:jc w:val="both"/>
        <w:rPr>
          <w:rFonts w:hint="default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</w:rPr>
        <w:t>联系人：宋老师</w:t>
      </w:r>
      <w:r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</w:rPr>
        <w:t>0551-63603159</w:t>
      </w:r>
      <w:r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eastAsia="zh-CN"/>
        </w:rPr>
        <w:t>（</w:t>
      </w:r>
      <w:r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请在工作时间联系），如需进校踏勘请提前联系。</w:t>
      </w:r>
    </w:p>
    <w:p w14:paraId="3540905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120" w:line="24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服务方案提交：请将服务方案盖章扫描PDF版本，发送至邮箱</w:t>
      </w:r>
      <w:r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</w:rPr>
        <w:t>songzhx@ustc.edu.cn</w:t>
      </w:r>
    </w:p>
    <w:p w14:paraId="4518FA51">
      <w:pPr>
        <w:spacing w:after="120" w:line="240" w:lineRule="auto"/>
        <w:ind w:firstLine="480" w:firstLineChars="200"/>
        <w:jc w:val="both"/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</w:rPr>
      </w:pPr>
      <w:r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意向征集截止时间：</w:t>
      </w:r>
      <w:r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</w:rPr>
        <w:t>202</w:t>
      </w:r>
      <w:r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6</w:t>
      </w:r>
      <w:r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</w:rPr>
        <w:t>年</w:t>
      </w:r>
      <w:r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</w:rPr>
        <w:t>月</w:t>
      </w:r>
      <w:r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17</w:t>
      </w:r>
      <w:r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</w:rPr>
        <w:t>日18：00</w:t>
      </w:r>
      <w:bookmarkStart w:id="0" w:name="_GoBack"/>
      <w:bookmarkEnd w:id="0"/>
      <w:r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</w:rPr>
        <w:t>。</w:t>
      </w:r>
    </w:p>
    <w:p w14:paraId="0F48A87D">
      <w:pPr>
        <w:spacing w:line="240" w:lineRule="auto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一、新能源汽车充电桩基本情况</w:t>
      </w:r>
    </w:p>
    <w:tbl>
      <w:tblPr>
        <w:tblStyle w:val="7"/>
        <w:tblW w:w="91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4"/>
        <w:gridCol w:w="680"/>
        <w:gridCol w:w="1940"/>
        <w:gridCol w:w="1077"/>
        <w:gridCol w:w="1134"/>
        <w:gridCol w:w="1304"/>
        <w:gridCol w:w="2528"/>
      </w:tblGrid>
      <w:tr w14:paraId="3CE2A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4" w:type="dxa"/>
            <w:vAlign w:val="center"/>
          </w:tcPr>
          <w:p w14:paraId="469869F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序号</w:t>
            </w:r>
          </w:p>
        </w:tc>
        <w:tc>
          <w:tcPr>
            <w:tcW w:w="680" w:type="dxa"/>
            <w:vAlign w:val="center"/>
          </w:tcPr>
          <w:p w14:paraId="28B0AC3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校区</w:t>
            </w:r>
          </w:p>
        </w:tc>
        <w:tc>
          <w:tcPr>
            <w:tcW w:w="1940" w:type="dxa"/>
            <w:vAlign w:val="center"/>
          </w:tcPr>
          <w:p w14:paraId="6A9D8CC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位置</w:t>
            </w:r>
          </w:p>
        </w:tc>
        <w:tc>
          <w:tcPr>
            <w:tcW w:w="1077" w:type="dxa"/>
            <w:vAlign w:val="center"/>
          </w:tcPr>
          <w:p w14:paraId="4C6560BC"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现有数量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台）</w:t>
            </w:r>
          </w:p>
        </w:tc>
        <w:tc>
          <w:tcPr>
            <w:tcW w:w="1134" w:type="dxa"/>
            <w:vAlign w:val="center"/>
          </w:tcPr>
          <w:p w14:paraId="27D9E94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现有品牌</w:t>
            </w:r>
          </w:p>
        </w:tc>
        <w:tc>
          <w:tcPr>
            <w:tcW w:w="1304" w:type="dxa"/>
            <w:vAlign w:val="center"/>
          </w:tcPr>
          <w:p w14:paraId="0F71C5E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拟安装数量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台）</w:t>
            </w:r>
          </w:p>
        </w:tc>
        <w:tc>
          <w:tcPr>
            <w:tcW w:w="2528" w:type="dxa"/>
            <w:vAlign w:val="center"/>
          </w:tcPr>
          <w:p w14:paraId="54CF1F2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说明</w:t>
            </w:r>
          </w:p>
        </w:tc>
      </w:tr>
      <w:tr w14:paraId="1C9A7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4" w:type="dxa"/>
            <w:vAlign w:val="center"/>
          </w:tcPr>
          <w:p w14:paraId="4612FE3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680" w:type="dxa"/>
            <w:vMerge w:val="restart"/>
            <w:vAlign w:val="center"/>
          </w:tcPr>
          <w:p w14:paraId="0B4F82B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东区</w:t>
            </w:r>
          </w:p>
        </w:tc>
        <w:tc>
          <w:tcPr>
            <w:tcW w:w="1940" w:type="dxa"/>
            <w:vAlign w:val="center"/>
          </w:tcPr>
          <w:p w14:paraId="1D2BAD0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地空中心东侧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地面</w:t>
            </w:r>
          </w:p>
        </w:tc>
        <w:tc>
          <w:tcPr>
            <w:tcW w:w="1077" w:type="dxa"/>
            <w:vAlign w:val="center"/>
          </w:tcPr>
          <w:p w14:paraId="1062FC1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12</w:t>
            </w:r>
          </w:p>
        </w:tc>
        <w:tc>
          <w:tcPr>
            <w:tcW w:w="1134" w:type="dxa"/>
            <w:vAlign w:val="center"/>
          </w:tcPr>
          <w:p w14:paraId="68DB846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Sungrow阳光电源</w:t>
            </w:r>
          </w:p>
        </w:tc>
        <w:tc>
          <w:tcPr>
            <w:tcW w:w="1304" w:type="dxa"/>
            <w:vAlign w:val="center"/>
          </w:tcPr>
          <w:p w14:paraId="358309E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12</w:t>
            </w:r>
          </w:p>
        </w:tc>
        <w:tc>
          <w:tcPr>
            <w:tcW w:w="2528" w:type="dxa"/>
            <w:vAlign w:val="center"/>
          </w:tcPr>
          <w:p w14:paraId="54FCC3E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正常使用，扫码启动充电</w:t>
            </w:r>
          </w:p>
        </w:tc>
      </w:tr>
      <w:tr w14:paraId="6739C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4" w:type="dxa"/>
            <w:vAlign w:val="center"/>
          </w:tcPr>
          <w:p w14:paraId="18670F8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</w:t>
            </w:r>
          </w:p>
        </w:tc>
        <w:tc>
          <w:tcPr>
            <w:tcW w:w="680" w:type="dxa"/>
            <w:vMerge w:val="continue"/>
            <w:vAlign w:val="center"/>
          </w:tcPr>
          <w:p w14:paraId="790628E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40" w:type="dxa"/>
            <w:vAlign w:val="center"/>
          </w:tcPr>
          <w:p w14:paraId="3589D9A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物质科研楼地库</w:t>
            </w:r>
          </w:p>
        </w:tc>
        <w:tc>
          <w:tcPr>
            <w:tcW w:w="1077" w:type="dxa"/>
            <w:vAlign w:val="center"/>
          </w:tcPr>
          <w:p w14:paraId="2571368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41</w:t>
            </w:r>
          </w:p>
        </w:tc>
        <w:tc>
          <w:tcPr>
            <w:tcW w:w="1134" w:type="dxa"/>
            <w:vAlign w:val="center"/>
          </w:tcPr>
          <w:p w14:paraId="77CCE19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304" w:type="dxa"/>
            <w:vAlign w:val="center"/>
          </w:tcPr>
          <w:p w14:paraId="4532B3D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15</w:t>
            </w:r>
          </w:p>
        </w:tc>
        <w:tc>
          <w:tcPr>
            <w:tcW w:w="2528" w:type="dxa"/>
            <w:vAlign w:val="center"/>
          </w:tcPr>
          <w:p w14:paraId="35FDAA4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已故障停用，需换新</w:t>
            </w:r>
          </w:p>
        </w:tc>
      </w:tr>
      <w:tr w14:paraId="122D59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4" w:type="dxa"/>
            <w:vAlign w:val="center"/>
          </w:tcPr>
          <w:p w14:paraId="2602AF1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3</w:t>
            </w:r>
          </w:p>
        </w:tc>
        <w:tc>
          <w:tcPr>
            <w:tcW w:w="680" w:type="dxa"/>
            <w:vMerge w:val="continue"/>
            <w:vAlign w:val="center"/>
          </w:tcPr>
          <w:p w14:paraId="2E1DD36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40" w:type="dxa"/>
            <w:vAlign w:val="center"/>
          </w:tcPr>
          <w:p w14:paraId="13A6502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北门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地面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停车场</w:t>
            </w:r>
          </w:p>
        </w:tc>
        <w:tc>
          <w:tcPr>
            <w:tcW w:w="1077" w:type="dxa"/>
            <w:vAlign w:val="center"/>
          </w:tcPr>
          <w:p w14:paraId="1037328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34" w:type="dxa"/>
            <w:vAlign w:val="center"/>
          </w:tcPr>
          <w:p w14:paraId="1A30228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304" w:type="dxa"/>
            <w:vAlign w:val="center"/>
          </w:tcPr>
          <w:p w14:paraId="5375328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13</w:t>
            </w:r>
          </w:p>
        </w:tc>
        <w:tc>
          <w:tcPr>
            <w:tcW w:w="2528" w:type="dxa"/>
            <w:vAlign w:val="center"/>
          </w:tcPr>
          <w:p w14:paraId="17300D0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已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预留点位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待校方完成电缆铺设等基建部分后安装充电桩</w:t>
            </w:r>
          </w:p>
        </w:tc>
      </w:tr>
      <w:tr w14:paraId="67483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4" w:type="dxa"/>
            <w:vAlign w:val="center"/>
          </w:tcPr>
          <w:p w14:paraId="7C9691F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4</w:t>
            </w:r>
          </w:p>
        </w:tc>
        <w:tc>
          <w:tcPr>
            <w:tcW w:w="680" w:type="dxa"/>
            <w:vAlign w:val="center"/>
          </w:tcPr>
          <w:p w14:paraId="6810DA3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中区</w:t>
            </w:r>
          </w:p>
        </w:tc>
        <w:tc>
          <w:tcPr>
            <w:tcW w:w="1940" w:type="dxa"/>
            <w:vAlign w:val="center"/>
          </w:tcPr>
          <w:p w14:paraId="58CD753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综合体育中心地库</w:t>
            </w:r>
          </w:p>
        </w:tc>
        <w:tc>
          <w:tcPr>
            <w:tcW w:w="1077" w:type="dxa"/>
            <w:vAlign w:val="center"/>
          </w:tcPr>
          <w:p w14:paraId="4DF80C9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24</w:t>
            </w:r>
          </w:p>
        </w:tc>
        <w:tc>
          <w:tcPr>
            <w:tcW w:w="1134" w:type="dxa"/>
            <w:vAlign w:val="center"/>
          </w:tcPr>
          <w:p w14:paraId="11CE4C5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安徽海迪拉</w:t>
            </w:r>
          </w:p>
        </w:tc>
        <w:tc>
          <w:tcPr>
            <w:tcW w:w="1304" w:type="dxa"/>
            <w:vAlign w:val="center"/>
          </w:tcPr>
          <w:p w14:paraId="7D0395D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7</w:t>
            </w:r>
          </w:p>
        </w:tc>
        <w:tc>
          <w:tcPr>
            <w:tcW w:w="2528" w:type="dxa"/>
            <w:vMerge w:val="restart"/>
            <w:vAlign w:val="center"/>
          </w:tcPr>
          <w:p w14:paraId="3ACECF4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正常使用，刷卡启动充电（不可联网）</w:t>
            </w:r>
          </w:p>
        </w:tc>
      </w:tr>
      <w:tr w14:paraId="4FDDC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4" w:type="dxa"/>
            <w:vAlign w:val="center"/>
          </w:tcPr>
          <w:p w14:paraId="4A70108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5</w:t>
            </w:r>
          </w:p>
        </w:tc>
        <w:tc>
          <w:tcPr>
            <w:tcW w:w="680" w:type="dxa"/>
            <w:vAlign w:val="center"/>
          </w:tcPr>
          <w:p w14:paraId="629AAC2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西区</w:t>
            </w:r>
          </w:p>
        </w:tc>
        <w:tc>
          <w:tcPr>
            <w:tcW w:w="1940" w:type="dxa"/>
            <w:vAlign w:val="center"/>
          </w:tcPr>
          <w:p w14:paraId="334B15D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医算中心北侧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地面</w:t>
            </w:r>
          </w:p>
        </w:tc>
        <w:tc>
          <w:tcPr>
            <w:tcW w:w="1077" w:type="dxa"/>
            <w:vAlign w:val="center"/>
          </w:tcPr>
          <w:p w14:paraId="7DBAE54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16</w:t>
            </w:r>
          </w:p>
        </w:tc>
        <w:tc>
          <w:tcPr>
            <w:tcW w:w="1134" w:type="dxa"/>
            <w:vAlign w:val="center"/>
          </w:tcPr>
          <w:p w14:paraId="2CBA3CC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合肥裕隆智能</w:t>
            </w:r>
          </w:p>
        </w:tc>
        <w:tc>
          <w:tcPr>
            <w:tcW w:w="1304" w:type="dxa"/>
            <w:vAlign w:val="center"/>
          </w:tcPr>
          <w:p w14:paraId="7AEB9C5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16</w:t>
            </w:r>
          </w:p>
        </w:tc>
        <w:tc>
          <w:tcPr>
            <w:tcW w:w="2528" w:type="dxa"/>
            <w:vMerge w:val="continue"/>
            <w:vAlign w:val="center"/>
          </w:tcPr>
          <w:p w14:paraId="5F81305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0A988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4" w:type="dxa"/>
            <w:vAlign w:val="center"/>
          </w:tcPr>
          <w:p w14:paraId="77D0580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7</w:t>
            </w:r>
          </w:p>
        </w:tc>
        <w:tc>
          <w:tcPr>
            <w:tcW w:w="680" w:type="dxa"/>
            <w:vMerge w:val="restart"/>
            <w:vAlign w:val="center"/>
          </w:tcPr>
          <w:p w14:paraId="08AD017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高新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校区</w:t>
            </w:r>
          </w:p>
        </w:tc>
        <w:tc>
          <w:tcPr>
            <w:tcW w:w="1940" w:type="dxa"/>
            <w:vAlign w:val="center"/>
          </w:tcPr>
          <w:p w14:paraId="38E3A20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2号学科楼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地库</w:t>
            </w:r>
          </w:p>
        </w:tc>
        <w:tc>
          <w:tcPr>
            <w:tcW w:w="1077" w:type="dxa"/>
            <w:vAlign w:val="center"/>
          </w:tcPr>
          <w:p w14:paraId="70326E82"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134" w:type="dxa"/>
            <w:vMerge w:val="restart"/>
            <w:vAlign w:val="center"/>
          </w:tcPr>
          <w:p w14:paraId="3C726D8D"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浙江万马</w:t>
            </w:r>
          </w:p>
        </w:tc>
        <w:tc>
          <w:tcPr>
            <w:tcW w:w="1304" w:type="dxa"/>
            <w:vAlign w:val="center"/>
          </w:tcPr>
          <w:p w14:paraId="04C38CF8">
            <w:pPr>
              <w:jc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2528" w:type="dxa"/>
            <w:vMerge w:val="continue"/>
            <w:vAlign w:val="center"/>
          </w:tcPr>
          <w:p w14:paraId="2F68F4D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56067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4" w:type="dxa"/>
            <w:vAlign w:val="center"/>
          </w:tcPr>
          <w:p w14:paraId="0CC3407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8</w:t>
            </w:r>
          </w:p>
        </w:tc>
        <w:tc>
          <w:tcPr>
            <w:tcW w:w="680" w:type="dxa"/>
            <w:vMerge w:val="continue"/>
            <w:vAlign w:val="center"/>
          </w:tcPr>
          <w:p w14:paraId="36BC9C7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40" w:type="dxa"/>
            <w:vAlign w:val="center"/>
          </w:tcPr>
          <w:p w14:paraId="0F5D1C2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3号学科楼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地库</w:t>
            </w:r>
          </w:p>
        </w:tc>
        <w:tc>
          <w:tcPr>
            <w:tcW w:w="1077" w:type="dxa"/>
            <w:vAlign w:val="center"/>
          </w:tcPr>
          <w:p w14:paraId="4E8695DB"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49</w:t>
            </w:r>
          </w:p>
        </w:tc>
        <w:tc>
          <w:tcPr>
            <w:tcW w:w="1134" w:type="dxa"/>
            <w:vMerge w:val="continue"/>
            <w:vAlign w:val="center"/>
          </w:tcPr>
          <w:p w14:paraId="6B2E52A6"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  <w:tc>
          <w:tcPr>
            <w:tcW w:w="1304" w:type="dxa"/>
            <w:vAlign w:val="center"/>
          </w:tcPr>
          <w:p w14:paraId="59AD7809"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15</w:t>
            </w:r>
          </w:p>
        </w:tc>
        <w:tc>
          <w:tcPr>
            <w:tcW w:w="2528" w:type="dxa"/>
            <w:vMerge w:val="continue"/>
            <w:vAlign w:val="center"/>
          </w:tcPr>
          <w:p w14:paraId="4898932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42ED6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4" w:type="dxa"/>
            <w:vAlign w:val="center"/>
          </w:tcPr>
          <w:p w14:paraId="5BA7CF6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9</w:t>
            </w:r>
          </w:p>
        </w:tc>
        <w:tc>
          <w:tcPr>
            <w:tcW w:w="680" w:type="dxa"/>
            <w:vMerge w:val="continue"/>
            <w:vAlign w:val="center"/>
          </w:tcPr>
          <w:p w14:paraId="34B3F23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40" w:type="dxa"/>
            <w:vAlign w:val="center"/>
          </w:tcPr>
          <w:p w14:paraId="117E8F9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信智楼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地面停车场</w:t>
            </w:r>
          </w:p>
        </w:tc>
        <w:tc>
          <w:tcPr>
            <w:tcW w:w="1077" w:type="dxa"/>
            <w:vAlign w:val="center"/>
          </w:tcPr>
          <w:p w14:paraId="4EBF5E4F"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1134" w:type="dxa"/>
            <w:vMerge w:val="continue"/>
            <w:vAlign w:val="center"/>
          </w:tcPr>
          <w:p w14:paraId="49743653"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  <w:tc>
          <w:tcPr>
            <w:tcW w:w="1304" w:type="dxa"/>
            <w:vAlign w:val="center"/>
          </w:tcPr>
          <w:p w14:paraId="6BBCACFC"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  <w:t>20</w:t>
            </w:r>
          </w:p>
        </w:tc>
        <w:tc>
          <w:tcPr>
            <w:tcW w:w="2528" w:type="dxa"/>
            <w:vMerge w:val="continue"/>
            <w:vAlign w:val="center"/>
          </w:tcPr>
          <w:p w14:paraId="25E79CA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2F82B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4" w:type="dxa"/>
            <w:vAlign w:val="center"/>
          </w:tcPr>
          <w:p w14:paraId="6D98DD9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10</w:t>
            </w:r>
          </w:p>
        </w:tc>
        <w:tc>
          <w:tcPr>
            <w:tcW w:w="680" w:type="dxa"/>
            <w:vMerge w:val="continue"/>
            <w:vAlign w:val="center"/>
          </w:tcPr>
          <w:p w14:paraId="445F6F0C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40" w:type="dxa"/>
            <w:vAlign w:val="center"/>
          </w:tcPr>
          <w:p w14:paraId="337CC14D"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图书教育中心地库</w:t>
            </w:r>
          </w:p>
        </w:tc>
        <w:tc>
          <w:tcPr>
            <w:tcW w:w="1077" w:type="dxa"/>
            <w:vAlign w:val="center"/>
          </w:tcPr>
          <w:p w14:paraId="19AC52E8"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77</w:t>
            </w:r>
          </w:p>
        </w:tc>
        <w:tc>
          <w:tcPr>
            <w:tcW w:w="1134" w:type="dxa"/>
            <w:vMerge w:val="continue"/>
            <w:vAlign w:val="center"/>
          </w:tcPr>
          <w:p w14:paraId="48BBA72E"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  <w:tc>
          <w:tcPr>
            <w:tcW w:w="1304" w:type="dxa"/>
            <w:vAlign w:val="center"/>
          </w:tcPr>
          <w:p w14:paraId="7550FCB7"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15</w:t>
            </w:r>
          </w:p>
        </w:tc>
        <w:tc>
          <w:tcPr>
            <w:tcW w:w="2528" w:type="dxa"/>
            <w:vMerge w:val="continue"/>
            <w:vAlign w:val="center"/>
          </w:tcPr>
          <w:p w14:paraId="0564BE8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7B570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4" w:type="dxa"/>
            <w:vAlign w:val="center"/>
          </w:tcPr>
          <w:p w14:paraId="22BA3C0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11</w:t>
            </w:r>
          </w:p>
        </w:tc>
        <w:tc>
          <w:tcPr>
            <w:tcW w:w="680" w:type="dxa"/>
            <w:vMerge w:val="continue"/>
            <w:vAlign w:val="center"/>
          </w:tcPr>
          <w:p w14:paraId="3894463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40" w:type="dxa"/>
            <w:vAlign w:val="center"/>
          </w:tcPr>
          <w:p w14:paraId="0049686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行政服务中心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地库</w:t>
            </w:r>
          </w:p>
        </w:tc>
        <w:tc>
          <w:tcPr>
            <w:tcW w:w="1077" w:type="dxa"/>
            <w:vAlign w:val="center"/>
          </w:tcPr>
          <w:p w14:paraId="16A59AF3"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20</w:t>
            </w:r>
          </w:p>
        </w:tc>
        <w:tc>
          <w:tcPr>
            <w:tcW w:w="1134" w:type="dxa"/>
            <w:vMerge w:val="continue"/>
            <w:vAlign w:val="center"/>
          </w:tcPr>
          <w:p w14:paraId="1FDE602B"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  <w:tc>
          <w:tcPr>
            <w:tcW w:w="1304" w:type="dxa"/>
            <w:vAlign w:val="center"/>
          </w:tcPr>
          <w:p w14:paraId="3BD222B8"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15</w:t>
            </w:r>
          </w:p>
        </w:tc>
        <w:tc>
          <w:tcPr>
            <w:tcW w:w="2528" w:type="dxa"/>
            <w:vMerge w:val="continue"/>
            <w:vAlign w:val="center"/>
          </w:tcPr>
          <w:p w14:paraId="7CCD1BE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3A0D88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4" w:type="dxa"/>
            <w:vAlign w:val="center"/>
          </w:tcPr>
          <w:p w14:paraId="4963467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12</w:t>
            </w:r>
          </w:p>
        </w:tc>
        <w:tc>
          <w:tcPr>
            <w:tcW w:w="680" w:type="dxa"/>
            <w:vMerge w:val="continue"/>
            <w:vAlign w:val="center"/>
          </w:tcPr>
          <w:p w14:paraId="74F3CC7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40" w:type="dxa"/>
            <w:vAlign w:val="center"/>
          </w:tcPr>
          <w:p w14:paraId="0E1114E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师活室外西侧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地面</w:t>
            </w:r>
          </w:p>
        </w:tc>
        <w:tc>
          <w:tcPr>
            <w:tcW w:w="1077" w:type="dxa"/>
            <w:vAlign w:val="center"/>
          </w:tcPr>
          <w:p w14:paraId="6DA6D4AF"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1134" w:type="dxa"/>
            <w:vMerge w:val="continue"/>
            <w:vAlign w:val="center"/>
          </w:tcPr>
          <w:p w14:paraId="0C5C8568"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  <w:tc>
          <w:tcPr>
            <w:tcW w:w="1304" w:type="dxa"/>
            <w:vAlign w:val="center"/>
          </w:tcPr>
          <w:p w14:paraId="3FB6B277"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  <w:t>10</w:t>
            </w:r>
          </w:p>
        </w:tc>
        <w:tc>
          <w:tcPr>
            <w:tcW w:w="2528" w:type="dxa"/>
            <w:vMerge w:val="continue"/>
            <w:vAlign w:val="center"/>
          </w:tcPr>
          <w:p w14:paraId="259D163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63B4B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4" w:type="dxa"/>
            <w:vAlign w:val="center"/>
          </w:tcPr>
          <w:p w14:paraId="72ACAC8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13</w:t>
            </w:r>
          </w:p>
        </w:tc>
        <w:tc>
          <w:tcPr>
            <w:tcW w:w="680" w:type="dxa"/>
            <w:vMerge w:val="continue"/>
            <w:vAlign w:val="center"/>
          </w:tcPr>
          <w:p w14:paraId="1E134F9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40" w:type="dxa"/>
            <w:vAlign w:val="center"/>
          </w:tcPr>
          <w:p w14:paraId="588AE13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食堂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地库</w:t>
            </w:r>
          </w:p>
        </w:tc>
        <w:tc>
          <w:tcPr>
            <w:tcW w:w="1077" w:type="dxa"/>
            <w:vAlign w:val="center"/>
          </w:tcPr>
          <w:p w14:paraId="71B00DD1"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38</w:t>
            </w:r>
          </w:p>
        </w:tc>
        <w:tc>
          <w:tcPr>
            <w:tcW w:w="1134" w:type="dxa"/>
            <w:vMerge w:val="continue"/>
            <w:vAlign w:val="center"/>
          </w:tcPr>
          <w:p w14:paraId="6C740400"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  <w:tc>
          <w:tcPr>
            <w:tcW w:w="1304" w:type="dxa"/>
            <w:vAlign w:val="center"/>
          </w:tcPr>
          <w:p w14:paraId="518C80DF"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2528" w:type="dxa"/>
            <w:vMerge w:val="continue"/>
            <w:vAlign w:val="center"/>
          </w:tcPr>
          <w:p w14:paraId="63AEEC5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3F911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4" w:type="dxa"/>
            <w:vAlign w:val="center"/>
          </w:tcPr>
          <w:p w14:paraId="1239FB1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14</w:t>
            </w:r>
          </w:p>
        </w:tc>
        <w:tc>
          <w:tcPr>
            <w:tcW w:w="680" w:type="dxa"/>
            <w:vMerge w:val="continue"/>
            <w:vAlign w:val="center"/>
          </w:tcPr>
          <w:p w14:paraId="38DA33C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40" w:type="dxa"/>
            <w:vAlign w:val="center"/>
          </w:tcPr>
          <w:p w14:paraId="2960068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北地块物质交叉中心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地面</w:t>
            </w:r>
          </w:p>
        </w:tc>
        <w:tc>
          <w:tcPr>
            <w:tcW w:w="1077" w:type="dxa"/>
            <w:vAlign w:val="center"/>
          </w:tcPr>
          <w:p w14:paraId="77978D9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8</w:t>
            </w:r>
          </w:p>
        </w:tc>
        <w:tc>
          <w:tcPr>
            <w:tcW w:w="1134" w:type="dxa"/>
            <w:vAlign w:val="center"/>
          </w:tcPr>
          <w:p w14:paraId="41E89B98">
            <w:pPr>
              <w:jc w:val="center"/>
              <w:rPr>
                <w:rFonts w:hint="eastAsia" w:ascii="仿宋" w:hAnsi="仿宋" w:eastAsia="仿宋" w:cs="仿宋"/>
                <w:color w:val="0000FF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Sungrow阳光电源</w:t>
            </w:r>
          </w:p>
        </w:tc>
        <w:tc>
          <w:tcPr>
            <w:tcW w:w="1304" w:type="dxa"/>
            <w:vAlign w:val="center"/>
          </w:tcPr>
          <w:p w14:paraId="5C99D145">
            <w:pPr>
              <w:jc w:val="center"/>
              <w:rPr>
                <w:rFonts w:hint="eastAsia" w:ascii="仿宋" w:hAnsi="仿宋" w:eastAsia="仿宋" w:cs="仿宋"/>
                <w:color w:val="0000FF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8</w:t>
            </w:r>
          </w:p>
        </w:tc>
        <w:tc>
          <w:tcPr>
            <w:tcW w:w="2528" w:type="dxa"/>
            <w:vAlign w:val="center"/>
          </w:tcPr>
          <w:p w14:paraId="10E0B75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59A28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4" w:type="dxa"/>
            <w:vAlign w:val="center"/>
          </w:tcPr>
          <w:p w14:paraId="4B5BF87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15</w:t>
            </w:r>
          </w:p>
        </w:tc>
        <w:tc>
          <w:tcPr>
            <w:tcW w:w="680" w:type="dxa"/>
            <w:vAlign w:val="center"/>
          </w:tcPr>
          <w:p w14:paraId="126BE659"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太湖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路园区</w:t>
            </w:r>
          </w:p>
        </w:tc>
        <w:tc>
          <w:tcPr>
            <w:tcW w:w="1940" w:type="dxa"/>
            <w:vAlign w:val="center"/>
          </w:tcPr>
          <w:p w14:paraId="434F64D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地面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停车场</w:t>
            </w:r>
          </w:p>
        </w:tc>
        <w:tc>
          <w:tcPr>
            <w:tcW w:w="1077" w:type="dxa"/>
            <w:vAlign w:val="center"/>
          </w:tcPr>
          <w:p w14:paraId="37620A3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/</w:t>
            </w:r>
          </w:p>
        </w:tc>
        <w:tc>
          <w:tcPr>
            <w:tcW w:w="1134" w:type="dxa"/>
            <w:vAlign w:val="center"/>
          </w:tcPr>
          <w:p w14:paraId="241751E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304" w:type="dxa"/>
            <w:vAlign w:val="center"/>
          </w:tcPr>
          <w:p w14:paraId="2FB85CF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</w:t>
            </w:r>
          </w:p>
        </w:tc>
        <w:tc>
          <w:tcPr>
            <w:tcW w:w="2528" w:type="dxa"/>
            <w:vAlign w:val="center"/>
          </w:tcPr>
          <w:p w14:paraId="5BFA30D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已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预留点位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待校方完成电缆铺设等基建部分后安装充电桩</w:t>
            </w:r>
          </w:p>
        </w:tc>
      </w:tr>
      <w:tr w14:paraId="6C6D4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4" w:type="dxa"/>
            <w:vAlign w:val="center"/>
          </w:tcPr>
          <w:p w14:paraId="6F5C076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4831" w:type="dxa"/>
            <w:gridSpan w:val="4"/>
            <w:vAlign w:val="center"/>
          </w:tcPr>
          <w:p w14:paraId="6F06DDC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合计</w:t>
            </w:r>
          </w:p>
        </w:tc>
        <w:tc>
          <w:tcPr>
            <w:tcW w:w="1304" w:type="dxa"/>
            <w:vAlign w:val="center"/>
          </w:tcPr>
          <w:p w14:paraId="3D1764D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fldChar w:fldCharType="begin"/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instrText xml:space="preserve"> = sum(F2:F15) \* MERGEFORMAT </w:instrTex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fldChar w:fldCharType="separate"/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6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fldChar w:fldCharType="end"/>
            </w:r>
          </w:p>
        </w:tc>
        <w:tc>
          <w:tcPr>
            <w:tcW w:w="2528" w:type="dxa"/>
            <w:vAlign w:val="center"/>
          </w:tcPr>
          <w:p w14:paraId="0F2F2E4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东区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40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，中区7，西区16</w:t>
            </w:r>
          </w:p>
          <w:p w14:paraId="0AF1FD5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高新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校区108，太湖路园区55</w:t>
            </w:r>
          </w:p>
        </w:tc>
      </w:tr>
    </w:tbl>
    <w:p w14:paraId="1AD3E935">
      <w:pPr>
        <w:spacing w:after="120" w:line="240" w:lineRule="auto"/>
        <w:ind w:firstLine="480" w:firstLineChars="200"/>
        <w:jc w:val="both"/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说明：以上数量为预计数量，</w:t>
      </w:r>
      <w:r>
        <w:rPr>
          <w:rFonts w:hint="eastAsia" w:ascii="仿宋" w:hAnsi="仿宋" w:eastAsia="仿宋" w:cs="仿宋"/>
          <w:sz w:val="24"/>
          <w:szCs w:val="24"/>
        </w:rPr>
        <w:t>中标后实际安装数量上下浮动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原则上</w:t>
      </w:r>
      <w:r>
        <w:rPr>
          <w:rFonts w:hint="eastAsia" w:ascii="仿宋" w:hAnsi="仿宋" w:eastAsia="仿宋" w:cs="仿宋"/>
          <w:sz w:val="24"/>
          <w:szCs w:val="24"/>
        </w:rPr>
        <w:t>不超过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</w:t>
      </w:r>
      <w:r>
        <w:rPr>
          <w:rFonts w:hint="eastAsia" w:ascii="仿宋" w:hAnsi="仿宋" w:eastAsia="仿宋" w:cs="仿宋"/>
          <w:sz w:val="24"/>
          <w:szCs w:val="24"/>
        </w:rPr>
        <w:t>0台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  <w:r>
        <w:rPr>
          <w:rFonts w:hint="eastAsia" w:ascii="仿宋" w:hAnsi="仿宋" w:eastAsia="仿宋" w:cs="仿宋"/>
          <w:b w:val="0"/>
          <w:i w:val="0"/>
          <w:iCs w:val="0"/>
          <w:caps w:val="0"/>
          <w:strike w:val="0"/>
          <w:color w:val="auto"/>
          <w:spacing w:val="0"/>
          <w:sz w:val="24"/>
          <w:szCs w:val="24"/>
          <w:u w:val="none"/>
          <w:lang w:val="en-US" w:eastAsia="zh-CN"/>
        </w:rPr>
        <w:t>如安装后出现供不应求情况，可联系供应商进增补安装。</w:t>
      </w:r>
    </w:p>
    <w:p w14:paraId="37CCA578">
      <w:pPr>
        <w:spacing w:line="240" w:lineRule="auto"/>
        <w:ind w:firstLine="480" w:firstLineChars="200"/>
        <w:rPr>
          <w:rFonts w:hint="default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二、运营模式说明</w:t>
      </w:r>
    </w:p>
    <w:p w14:paraId="6D35AFE7">
      <w:pPr>
        <w:spacing w:line="24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1.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第三方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服务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企业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对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校内新能源汽车充电桩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进行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更新、运维，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企业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独立运营、自负盈亏，接受学校监管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，</w:t>
      </w:r>
      <w:r>
        <w:rPr>
          <w:rFonts w:hint="eastAsia" w:ascii="仿宋" w:hAnsi="仿宋" w:eastAsia="仿宋" w:cs="仿宋"/>
          <w:sz w:val="24"/>
          <w:szCs w:val="24"/>
          <w:highlight w:val="yellow"/>
          <w:lang w:val="en-US" w:eastAsia="zh-CN"/>
        </w:rPr>
        <w:t>学校不支付任何费用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。</w:t>
      </w:r>
    </w:p>
    <w:p w14:paraId="63D9F017">
      <w:pPr>
        <w:spacing w:line="240" w:lineRule="auto"/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2.第三方服务企业收取充电人充电费用，定期向学校结算并支付电费。</w:t>
      </w:r>
    </w:p>
    <w:p w14:paraId="659E53DF">
      <w:pPr>
        <w:spacing w:line="240" w:lineRule="auto"/>
        <w:ind w:firstLine="480" w:firstLineChars="200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3.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充电费用由电价和服务费组成，电价为学校向引入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的第三方服务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企业售卖的价格，服务费由引入企业依据竞标价格实施。</w:t>
      </w:r>
    </w:p>
    <w:p w14:paraId="14583179">
      <w:pPr>
        <w:spacing w:line="240" w:lineRule="auto"/>
        <w:ind w:firstLine="480" w:firstLineChars="200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学校仅负责充电桩电缆铺设的基建部分；第三方服务企业负责末端充电桩及配套设施的建设、更新及维修，例如消防器材、无线通讯、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充电车位导航指引牌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。</w:t>
      </w:r>
    </w:p>
    <w:p w14:paraId="0798E2D9">
      <w:pPr>
        <w:spacing w:line="240" w:lineRule="auto"/>
        <w:ind w:firstLine="480" w:firstLineChars="200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5.现有充电桩可利旧使用，（例如改造加装网络通讯模块、与原桩厂家对接端口协议），采购人不向引入企业收取设备使用/租赁费；若不可利旧使用，则引入企业需拆除原桩后交由采购人处理。</w:t>
      </w:r>
    </w:p>
    <w:p w14:paraId="0EE217CE">
      <w:pPr>
        <w:spacing w:line="240" w:lineRule="auto"/>
        <w:ind w:firstLine="480" w:firstLineChars="200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三、核心采购需求</w:t>
      </w:r>
    </w:p>
    <w:p w14:paraId="0F436485">
      <w:pPr>
        <w:spacing w:line="24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1.单桩单枪的7kw慢充交流桩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壁挂式、立柱式均可</w:t>
      </w:r>
      <w:r>
        <w:rPr>
          <w:rFonts w:hint="eastAsia" w:ascii="仿宋" w:hAnsi="仿宋" w:eastAsia="仿宋" w:cs="仿宋"/>
          <w:sz w:val="24"/>
          <w:szCs w:val="24"/>
        </w:rPr>
        <w:t>。</w:t>
      </w:r>
    </w:p>
    <w:p w14:paraId="2773F2F2">
      <w:pPr>
        <w:spacing w:line="24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2.充电使用第三方企业小程序，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小程序不得非法收集并使用用户信息，</w:t>
      </w:r>
      <w:r>
        <w:rPr>
          <w:rFonts w:hint="eastAsia" w:ascii="仿宋" w:hAnsi="仿宋" w:eastAsia="仿宋" w:cs="仿宋"/>
          <w:sz w:val="24"/>
          <w:szCs w:val="24"/>
        </w:rPr>
        <w:t>小程序需提供充满移车消息推送。</w:t>
      </w:r>
    </w:p>
    <w:p w14:paraId="263C0356">
      <w:pPr>
        <w:spacing w:line="24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3.第三方企业需制作并安装充电车位导航指引牌（须经采购人审核同意），设置新能源充电桩专用车位标识并张贴温馨提醒（如“充电车位，请勿占用，谢谢，祝您平安！”)</w:t>
      </w:r>
    </w:p>
    <w:p w14:paraId="6758B06A">
      <w:pPr>
        <w:spacing w:line="24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4.设置专人运维，及时修复充电故障、接到投诉后进行处理、联系车主挪车、统计充电桩利用率等。</w:t>
      </w:r>
    </w:p>
    <w:p w14:paraId="28E4AE68">
      <w:pPr>
        <w:spacing w:line="24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</w:p>
    <w:p w14:paraId="3E8FFC07">
      <w:pPr>
        <w:ind w:firstLine="562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欢迎有意向的服务供应商联系，并磋商运营服务方案！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165DC9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BE11814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BE11814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BB767F3"/>
    <w:rsid w:val="00532286"/>
    <w:rsid w:val="00AC0478"/>
    <w:rsid w:val="00B847E6"/>
    <w:rsid w:val="00D31E90"/>
    <w:rsid w:val="00F53FD1"/>
    <w:rsid w:val="037834CD"/>
    <w:rsid w:val="0BB767F3"/>
    <w:rsid w:val="0BEA5FDA"/>
    <w:rsid w:val="0BFD2884"/>
    <w:rsid w:val="473C746D"/>
    <w:rsid w:val="4FF64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1105</Words>
  <Characters>1201</Characters>
  <Lines>102</Lines>
  <Paragraphs>131</Paragraphs>
  <TotalTime>67</TotalTime>
  <ScaleCrop>false</ScaleCrop>
  <LinksUpToDate>false</LinksUpToDate>
  <CharactersWithSpaces>1202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2026-03-03T09:53:00Z</dcterms:created>
  <dc:creator>SZX</dc:creator>
  <cp:lastModifiedBy>SZX</cp:lastModifiedBy>
  <dcterms:modified xsi:type="dcterms:W3CDTF">2026-04-09T07:13:00Z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84B06CA1FE6B4F189D94AAD9DB1B7F58_13</vt:lpwstr>
  </property>
  <property fmtid="{D5CDD505-2E9C-101B-9397-08002B2CF9AE}" pid="4" name="KSOTemplateDocerSaveRecord">
    <vt:lpwstr>eyJoZGlkIjoiYzI3NTM2Yjg2MmE0NjBkY2JhMjNkMTFlMjhiYjM0ZWEiLCJ1c2VySWQiOiIyMjUyMzA2OTQifQ==</vt:lpwstr>
  </property>
</Properties>
</file>